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9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543"/>
        <w:gridCol w:w="1731"/>
        <w:gridCol w:w="2734"/>
        <w:gridCol w:w="4198"/>
        <w:gridCol w:w="4284"/>
      </w:tblGrid>
      <w:tr w:rsidR="009A175B" w:rsidRPr="00640C24" w14:paraId="26719B94" w14:textId="77777777" w:rsidTr="005E24F2">
        <w:trPr>
          <w:trHeight w:val="530"/>
        </w:trPr>
        <w:tc>
          <w:tcPr>
            <w:tcW w:w="14490" w:type="dxa"/>
            <w:gridSpan w:val="5"/>
            <w:shd w:val="clear" w:color="auto" w:fill="A6A6A6" w:themeFill="background1" w:themeFillShade="A6"/>
            <w:vAlign w:val="center"/>
          </w:tcPr>
          <w:p w14:paraId="06207693" w14:textId="77777777" w:rsidR="009A175B" w:rsidRPr="00640C24" w:rsidRDefault="009A175B" w:rsidP="00DA3469">
            <w:pPr>
              <w:jc w:val="center"/>
              <w:rPr>
                <w:b/>
              </w:rPr>
            </w:pPr>
            <w:r>
              <w:rPr>
                <w:b/>
              </w:rPr>
              <w:t>RSP19 Comment Form</w:t>
            </w:r>
          </w:p>
        </w:tc>
      </w:tr>
      <w:tr w:rsidR="009A175B" w:rsidRPr="00640C24" w14:paraId="443E1BFB" w14:textId="77777777" w:rsidTr="005E24F2">
        <w:trPr>
          <w:trHeight w:val="530"/>
        </w:trPr>
        <w:tc>
          <w:tcPr>
            <w:tcW w:w="1543" w:type="dxa"/>
            <w:shd w:val="clear" w:color="auto" w:fill="A6A6A6" w:themeFill="background1" w:themeFillShade="A6"/>
            <w:vAlign w:val="center"/>
          </w:tcPr>
          <w:p w14:paraId="6F6A3CC0" w14:textId="77777777" w:rsidR="009A175B" w:rsidRPr="00640C24" w:rsidRDefault="009A175B" w:rsidP="00DA3469">
            <w:pPr>
              <w:jc w:val="center"/>
              <w:rPr>
                <w:b/>
              </w:rPr>
            </w:pPr>
            <w:r w:rsidRPr="00640C24">
              <w:rPr>
                <w:b/>
              </w:rPr>
              <w:t>Page Number</w:t>
            </w:r>
          </w:p>
        </w:tc>
        <w:tc>
          <w:tcPr>
            <w:tcW w:w="1731" w:type="dxa"/>
            <w:shd w:val="clear" w:color="auto" w:fill="A6A6A6" w:themeFill="background1" w:themeFillShade="A6"/>
            <w:vAlign w:val="center"/>
          </w:tcPr>
          <w:p w14:paraId="59A99699" w14:textId="77777777" w:rsidR="009A175B" w:rsidRPr="00640C24" w:rsidRDefault="009A175B" w:rsidP="00DA3469">
            <w:pPr>
              <w:jc w:val="center"/>
              <w:rPr>
                <w:b/>
              </w:rPr>
            </w:pPr>
            <w:r w:rsidRPr="00640C24">
              <w:rPr>
                <w:b/>
              </w:rPr>
              <w:t>RSP Section</w:t>
            </w:r>
          </w:p>
        </w:tc>
        <w:tc>
          <w:tcPr>
            <w:tcW w:w="2734" w:type="dxa"/>
            <w:shd w:val="clear" w:color="auto" w:fill="A6A6A6" w:themeFill="background1" w:themeFillShade="A6"/>
            <w:vAlign w:val="center"/>
          </w:tcPr>
          <w:p w14:paraId="5A03475E" w14:textId="77777777" w:rsidR="009A175B" w:rsidRPr="00640C24" w:rsidRDefault="009A175B" w:rsidP="00DA3469">
            <w:pPr>
              <w:jc w:val="center"/>
              <w:rPr>
                <w:b/>
              </w:rPr>
            </w:pPr>
            <w:r w:rsidRPr="00640C24">
              <w:rPr>
                <w:b/>
              </w:rPr>
              <w:t>Commenter</w:t>
            </w:r>
            <w:r>
              <w:rPr>
                <w:b/>
              </w:rPr>
              <w:t xml:space="preserve"> (Name/Organization)</w:t>
            </w:r>
          </w:p>
        </w:tc>
        <w:tc>
          <w:tcPr>
            <w:tcW w:w="4198" w:type="dxa"/>
            <w:shd w:val="clear" w:color="auto" w:fill="A6A6A6" w:themeFill="background1" w:themeFillShade="A6"/>
            <w:vAlign w:val="center"/>
          </w:tcPr>
          <w:p w14:paraId="4AD5CE8B" w14:textId="77777777" w:rsidR="009A175B" w:rsidRPr="00640C24" w:rsidRDefault="009A175B" w:rsidP="00DA3469">
            <w:pPr>
              <w:jc w:val="center"/>
              <w:rPr>
                <w:b/>
              </w:rPr>
            </w:pPr>
            <w:r w:rsidRPr="00640C24">
              <w:rPr>
                <w:b/>
              </w:rPr>
              <w:t>Comment</w:t>
            </w:r>
          </w:p>
        </w:tc>
        <w:tc>
          <w:tcPr>
            <w:tcW w:w="4284" w:type="dxa"/>
            <w:shd w:val="clear" w:color="auto" w:fill="A6A6A6" w:themeFill="background1" w:themeFillShade="A6"/>
            <w:vAlign w:val="center"/>
          </w:tcPr>
          <w:p w14:paraId="07618BD5" w14:textId="77777777" w:rsidR="009A175B" w:rsidRPr="00640C24" w:rsidRDefault="009A175B" w:rsidP="00DA3469">
            <w:pPr>
              <w:jc w:val="center"/>
              <w:rPr>
                <w:b/>
              </w:rPr>
            </w:pPr>
            <w:r w:rsidRPr="00640C24">
              <w:rPr>
                <w:b/>
              </w:rPr>
              <w:t>Initial ISO Response</w:t>
            </w:r>
          </w:p>
        </w:tc>
      </w:tr>
      <w:tr w:rsidR="005E24F2" w14:paraId="62780DD4" w14:textId="77777777" w:rsidTr="005E24F2">
        <w:tc>
          <w:tcPr>
            <w:tcW w:w="1543" w:type="dxa"/>
          </w:tcPr>
          <w:p w14:paraId="78178A31" w14:textId="06CBDA75" w:rsidR="005E24F2" w:rsidRDefault="005E24F2" w:rsidP="005E24F2">
            <w:r>
              <w:t>1</w:t>
            </w:r>
          </w:p>
        </w:tc>
        <w:tc>
          <w:tcPr>
            <w:tcW w:w="1731" w:type="dxa"/>
          </w:tcPr>
          <w:p w14:paraId="3A1D82EC" w14:textId="55886DFB" w:rsidR="005E24F2" w:rsidRDefault="005E24F2" w:rsidP="005E24F2">
            <w:r>
              <w:t>1</w:t>
            </w:r>
          </w:p>
        </w:tc>
        <w:tc>
          <w:tcPr>
            <w:tcW w:w="2734" w:type="dxa"/>
          </w:tcPr>
          <w:p w14:paraId="19345ACC" w14:textId="21163AA7" w:rsidR="005E24F2" w:rsidRDefault="00B1693D" w:rsidP="005E24F2">
            <w:r>
              <w:t>NESCOE</w:t>
            </w:r>
          </w:p>
        </w:tc>
        <w:tc>
          <w:tcPr>
            <w:tcW w:w="4198" w:type="dxa"/>
          </w:tcPr>
          <w:p w14:paraId="088C0D65" w14:textId="66CA8AB9" w:rsidR="005E24F2" w:rsidRPr="005E24F2" w:rsidRDefault="005E24F2" w:rsidP="005E24F2">
            <w:pPr>
              <w:jc w:val="left"/>
              <w:rPr>
                <w:rFonts w:cs="Arial"/>
              </w:rPr>
            </w:pPr>
            <w:r w:rsidRPr="005E24F2">
              <w:rPr>
                <w:rFonts w:eastAsia="Times New Roman" w:cs="Arial"/>
              </w:rPr>
              <w:t xml:space="preserve">“Transmission improvements are needed to enhance the reliability </w:t>
            </w:r>
            <w:r w:rsidRPr="005E24F2">
              <w:rPr>
                <w:rFonts w:eastAsia="Times New Roman" w:cs="Arial"/>
                <w:strike/>
              </w:rPr>
              <w:t xml:space="preserve">and economic performance </w:t>
            </w:r>
            <w:r w:rsidRPr="005E24F2">
              <w:rPr>
                <w:rFonts w:eastAsia="Times New Roman" w:cs="Arial"/>
              </w:rPr>
              <w:t xml:space="preserve">of the regional power system and support state policies to access remotely located sources of clean energy. Transmission plans are in place throughout the region to meet system needs.” </w:t>
            </w:r>
            <w:r w:rsidRPr="005E24F2">
              <w:rPr>
                <w:rFonts w:eastAsia="Times New Roman" w:cs="Arial"/>
                <w:b/>
                <w:bCs/>
              </w:rPr>
              <w:t xml:space="preserve">There are currently no transmission improvements </w:t>
            </w:r>
            <w:r w:rsidR="00912160">
              <w:rPr>
                <w:rFonts w:eastAsia="Times New Roman" w:cs="Arial"/>
                <w:b/>
                <w:bCs/>
              </w:rPr>
              <w:t xml:space="preserve">identified as </w:t>
            </w:r>
            <w:r w:rsidRPr="005E24F2">
              <w:rPr>
                <w:rFonts w:eastAsia="Times New Roman" w:cs="Arial"/>
                <w:b/>
                <w:bCs/>
              </w:rPr>
              <w:t>needed for economic performance.</w:t>
            </w:r>
            <w:r w:rsidR="00F4330A">
              <w:rPr>
                <w:rFonts w:eastAsia="Times New Roman" w:cs="Arial"/>
                <w:b/>
                <w:bCs/>
              </w:rPr>
              <w:t xml:space="preserve"> </w:t>
            </w:r>
            <w:r w:rsidR="008C5014">
              <w:rPr>
                <w:rFonts w:eastAsia="Times New Roman" w:cs="Arial"/>
                <w:b/>
                <w:bCs/>
              </w:rPr>
              <w:t xml:space="preserve">If there are, </w:t>
            </w:r>
            <w:r w:rsidR="009D3E02">
              <w:rPr>
                <w:rFonts w:eastAsia="Times New Roman" w:cs="Arial"/>
                <w:b/>
                <w:bCs/>
              </w:rPr>
              <w:t xml:space="preserve">this should note the source document. </w:t>
            </w:r>
          </w:p>
        </w:tc>
        <w:tc>
          <w:tcPr>
            <w:tcW w:w="4284" w:type="dxa"/>
          </w:tcPr>
          <w:p w14:paraId="7FEA8187" w14:textId="77777777" w:rsidR="005E24F2" w:rsidRDefault="005E24F2" w:rsidP="005E24F2"/>
        </w:tc>
      </w:tr>
      <w:tr w:rsidR="00B1693D" w14:paraId="7337C2D6" w14:textId="77777777" w:rsidTr="005E24F2">
        <w:tc>
          <w:tcPr>
            <w:tcW w:w="1543" w:type="dxa"/>
          </w:tcPr>
          <w:p w14:paraId="36B8DBCC" w14:textId="2C6A35F3" w:rsidR="00B1693D" w:rsidRDefault="00B1693D" w:rsidP="00B1693D">
            <w:r>
              <w:t>1</w:t>
            </w:r>
          </w:p>
        </w:tc>
        <w:tc>
          <w:tcPr>
            <w:tcW w:w="1731" w:type="dxa"/>
          </w:tcPr>
          <w:p w14:paraId="6CD4EA3D" w14:textId="01A47995" w:rsidR="00B1693D" w:rsidRDefault="00B1693D" w:rsidP="00B1693D">
            <w:r>
              <w:t>1</w:t>
            </w:r>
          </w:p>
        </w:tc>
        <w:tc>
          <w:tcPr>
            <w:tcW w:w="2734" w:type="dxa"/>
          </w:tcPr>
          <w:p w14:paraId="3F2B0ACA" w14:textId="7BE2111D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7149BF1F" w14:textId="7A2996DA" w:rsidR="00B1693D" w:rsidRPr="005E24F2" w:rsidRDefault="00B1693D" w:rsidP="00B1693D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</w:rPr>
              <w:t xml:space="preserve">“New England is currently fuel constrained, which remains the greatest reliability risk to the region.” </w:t>
            </w:r>
            <w:r w:rsidR="00912160" w:rsidRPr="00B7020B">
              <w:rPr>
                <w:rFonts w:cs="Arial"/>
                <w:b/>
                <w:bCs/>
              </w:rPr>
              <w:t xml:space="preserve">ISO-NE should define “fuel constrained” here and provide a source to ISO-NE’s determination as to fuel constraints being the greatest reliability risk to the New England power system. </w:t>
            </w:r>
          </w:p>
        </w:tc>
        <w:tc>
          <w:tcPr>
            <w:tcW w:w="4284" w:type="dxa"/>
          </w:tcPr>
          <w:p w14:paraId="3535FD00" w14:textId="77777777" w:rsidR="00B1693D" w:rsidRDefault="00B1693D" w:rsidP="00B1693D"/>
        </w:tc>
      </w:tr>
      <w:tr w:rsidR="00B1693D" w14:paraId="4F4ED845" w14:textId="77777777" w:rsidTr="005E24F2">
        <w:tc>
          <w:tcPr>
            <w:tcW w:w="1543" w:type="dxa"/>
          </w:tcPr>
          <w:p w14:paraId="1178B68E" w14:textId="274E8445" w:rsidR="00B1693D" w:rsidRDefault="00B1693D" w:rsidP="00B1693D">
            <w:r>
              <w:t>2</w:t>
            </w:r>
          </w:p>
        </w:tc>
        <w:tc>
          <w:tcPr>
            <w:tcW w:w="1731" w:type="dxa"/>
          </w:tcPr>
          <w:p w14:paraId="5F002BA4" w14:textId="0A351177" w:rsidR="00B1693D" w:rsidRDefault="00B1693D" w:rsidP="00B1693D">
            <w:r>
              <w:t>1</w:t>
            </w:r>
          </w:p>
        </w:tc>
        <w:tc>
          <w:tcPr>
            <w:tcW w:w="2734" w:type="dxa"/>
          </w:tcPr>
          <w:p w14:paraId="24972C6A" w14:textId="2AB77A80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568F9F52" w14:textId="30EBBB84" w:rsidR="00B1693D" w:rsidRPr="005E24F2" w:rsidRDefault="00B1693D" w:rsidP="00B1693D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</w:rPr>
              <w:t xml:space="preserve">‘Additional potential measures include, firm contracts with gas suppliers to improve gas availability for power </w:t>
            </w:r>
            <w:proofErr w:type="gramStart"/>
            <w:r w:rsidRPr="005E24F2">
              <w:rPr>
                <w:rFonts w:cs="Arial"/>
              </w:rPr>
              <w:t>generation,…</w:t>
            </w:r>
            <w:proofErr w:type="gramEnd"/>
            <w:r w:rsidRPr="005E24F2">
              <w:rPr>
                <w:rFonts w:cs="Arial"/>
              </w:rPr>
              <w:t xml:space="preserve">” </w:t>
            </w:r>
            <w:r w:rsidRPr="005E24F2">
              <w:rPr>
                <w:rFonts w:cs="Arial"/>
                <w:b/>
                <w:bCs/>
              </w:rPr>
              <w:t>Which committee is discussing this potential measure?</w:t>
            </w:r>
          </w:p>
        </w:tc>
        <w:tc>
          <w:tcPr>
            <w:tcW w:w="4284" w:type="dxa"/>
          </w:tcPr>
          <w:p w14:paraId="5EDFEB32" w14:textId="77777777" w:rsidR="00B1693D" w:rsidRDefault="00B1693D" w:rsidP="00B1693D"/>
        </w:tc>
      </w:tr>
      <w:tr w:rsidR="00B1693D" w14:paraId="2C9F2A5B" w14:textId="77777777" w:rsidTr="005E24F2">
        <w:tc>
          <w:tcPr>
            <w:tcW w:w="1543" w:type="dxa"/>
          </w:tcPr>
          <w:p w14:paraId="55B740ED" w14:textId="5E857867" w:rsidR="00B1693D" w:rsidRDefault="00B1693D" w:rsidP="00B1693D">
            <w:r>
              <w:t>4</w:t>
            </w:r>
          </w:p>
        </w:tc>
        <w:tc>
          <w:tcPr>
            <w:tcW w:w="1731" w:type="dxa"/>
          </w:tcPr>
          <w:p w14:paraId="7242B742" w14:textId="4168E784" w:rsidR="00B1693D" w:rsidRDefault="00B1693D" w:rsidP="00B1693D">
            <w:r>
              <w:t>1.1.2</w:t>
            </w:r>
          </w:p>
        </w:tc>
        <w:tc>
          <w:tcPr>
            <w:tcW w:w="2734" w:type="dxa"/>
          </w:tcPr>
          <w:p w14:paraId="047D6627" w14:textId="5BE348CE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59C48D5B" w14:textId="49C1F17E" w:rsidR="00B1693D" w:rsidRPr="005E24F2" w:rsidRDefault="00B7020B" w:rsidP="00B1693D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“</w:t>
            </w:r>
            <w:r w:rsidR="00B1693D" w:rsidRPr="005E24F2">
              <w:rPr>
                <w:rFonts w:cs="Arial"/>
              </w:rPr>
              <w:t xml:space="preserve">To date, resource-adequacy studies have shown that the most </w:t>
            </w:r>
            <w:r w:rsidR="00B1693D" w:rsidRPr="005E24F2">
              <w:rPr>
                <w:rFonts w:cs="Arial"/>
                <w:strike/>
              </w:rPr>
              <w:t xml:space="preserve">reliable and </w:t>
            </w:r>
            <w:r w:rsidR="00B1693D" w:rsidRPr="005E24F2">
              <w:rPr>
                <w:rFonts w:cs="Arial"/>
              </w:rPr>
              <w:t>economic place for developing new resources is in the Northeastern Massachusetts (NEMA)/Boston and Southeastern Massachusetts/ Rhode Island (SEMA/RI) areas.</w:t>
            </w:r>
            <w:r>
              <w:rPr>
                <w:rFonts w:cs="Arial"/>
              </w:rPr>
              <w:t>”</w:t>
            </w:r>
            <w:r w:rsidR="00B1693D" w:rsidRPr="005E24F2">
              <w:rPr>
                <w:rFonts w:cs="Arial"/>
              </w:rPr>
              <w:t xml:space="preserve"> </w:t>
            </w:r>
            <w:r w:rsidR="006D0ACE" w:rsidRPr="00B7020B">
              <w:rPr>
                <w:rFonts w:cs="Arial"/>
                <w:b/>
                <w:bCs/>
              </w:rPr>
              <w:t xml:space="preserve">ISO should explain </w:t>
            </w:r>
            <w:r w:rsidR="002E1E5F">
              <w:rPr>
                <w:rFonts w:cs="Arial"/>
                <w:b/>
                <w:bCs/>
              </w:rPr>
              <w:t xml:space="preserve">what it means when it says that </w:t>
            </w:r>
            <w:r w:rsidR="006D0ACE" w:rsidRPr="00F4330A">
              <w:rPr>
                <w:rFonts w:cs="Arial"/>
                <w:b/>
                <w:bCs/>
              </w:rPr>
              <w:t xml:space="preserve">one </w:t>
            </w:r>
            <w:r w:rsidR="00B1693D" w:rsidRPr="00F4330A">
              <w:rPr>
                <w:rFonts w:cs="Arial"/>
                <w:b/>
                <w:bCs/>
              </w:rPr>
              <w:t xml:space="preserve">location </w:t>
            </w:r>
            <w:r w:rsidR="006D0ACE" w:rsidRPr="00F4330A">
              <w:rPr>
                <w:rFonts w:cs="Arial"/>
                <w:b/>
                <w:bCs/>
              </w:rPr>
              <w:t xml:space="preserve">is </w:t>
            </w:r>
            <w:r w:rsidR="00B1693D" w:rsidRPr="00F4330A">
              <w:rPr>
                <w:rFonts w:cs="Arial"/>
                <w:b/>
                <w:bCs/>
              </w:rPr>
              <w:t>more reliable for</w:t>
            </w:r>
            <w:r w:rsidR="00B1693D" w:rsidRPr="005E24F2">
              <w:rPr>
                <w:rFonts w:cs="Arial"/>
                <w:b/>
                <w:bCs/>
              </w:rPr>
              <w:t xml:space="preserve"> interconnection than </w:t>
            </w:r>
            <w:r w:rsidR="00B1693D" w:rsidRPr="005E24F2">
              <w:rPr>
                <w:rFonts w:cs="Arial"/>
                <w:b/>
                <w:bCs/>
              </w:rPr>
              <w:lastRenderedPageBreak/>
              <w:t>another</w:t>
            </w:r>
            <w:r>
              <w:rPr>
                <w:rFonts w:cs="Arial"/>
                <w:b/>
                <w:bCs/>
              </w:rPr>
              <w:t xml:space="preserve"> or delete the term.</w:t>
            </w:r>
            <w:r w:rsidR="00B1693D" w:rsidRPr="005E24F2">
              <w:rPr>
                <w:rFonts w:cs="Arial"/>
                <w:b/>
                <w:bCs/>
              </w:rPr>
              <w:t xml:space="preserve">  Do</w:t>
            </w:r>
            <w:r w:rsidR="006D0ACE">
              <w:rPr>
                <w:rFonts w:cs="Arial"/>
                <w:b/>
                <w:bCs/>
              </w:rPr>
              <w:t xml:space="preserve">es this mean this </w:t>
            </w:r>
            <w:r w:rsidR="002E1E5F">
              <w:rPr>
                <w:rFonts w:cs="Arial"/>
                <w:b/>
                <w:bCs/>
              </w:rPr>
              <w:t xml:space="preserve">location </w:t>
            </w:r>
            <w:r w:rsidR="00B1693D" w:rsidRPr="005E24F2">
              <w:rPr>
                <w:rFonts w:cs="Arial"/>
                <w:b/>
                <w:bCs/>
              </w:rPr>
              <w:t>needs less upgrades</w:t>
            </w:r>
            <w:r>
              <w:rPr>
                <w:rFonts w:cs="Arial"/>
                <w:b/>
                <w:bCs/>
              </w:rPr>
              <w:t xml:space="preserve"> than others</w:t>
            </w:r>
            <w:r w:rsidR="00B1693D" w:rsidRPr="005E24F2">
              <w:rPr>
                <w:rFonts w:cs="Arial"/>
                <w:b/>
                <w:bCs/>
              </w:rPr>
              <w:t xml:space="preserve"> – that would be economic</w:t>
            </w:r>
            <w:r>
              <w:rPr>
                <w:rFonts w:cs="Arial"/>
                <w:b/>
                <w:bCs/>
              </w:rPr>
              <w:t>s</w:t>
            </w:r>
            <w:r w:rsidR="00B1693D" w:rsidRPr="005E24F2">
              <w:rPr>
                <w:rFonts w:cs="Arial"/>
                <w:b/>
                <w:bCs/>
              </w:rPr>
              <w:t>.</w:t>
            </w:r>
          </w:p>
        </w:tc>
        <w:tc>
          <w:tcPr>
            <w:tcW w:w="4284" w:type="dxa"/>
          </w:tcPr>
          <w:p w14:paraId="646FB5D2" w14:textId="77777777" w:rsidR="00B1693D" w:rsidRDefault="00B1693D" w:rsidP="00B1693D"/>
        </w:tc>
      </w:tr>
      <w:tr w:rsidR="00B1693D" w14:paraId="2168017A" w14:textId="77777777" w:rsidTr="005E24F2">
        <w:tc>
          <w:tcPr>
            <w:tcW w:w="1543" w:type="dxa"/>
          </w:tcPr>
          <w:p w14:paraId="37C5F4E1" w14:textId="71B21D7F" w:rsidR="00B1693D" w:rsidRDefault="00B1693D" w:rsidP="00B1693D">
            <w:r>
              <w:t>5</w:t>
            </w:r>
          </w:p>
        </w:tc>
        <w:tc>
          <w:tcPr>
            <w:tcW w:w="1731" w:type="dxa"/>
          </w:tcPr>
          <w:p w14:paraId="4050282A" w14:textId="59228FD7" w:rsidR="00B1693D" w:rsidRDefault="00B1693D" w:rsidP="00B1693D">
            <w:r>
              <w:t>1.1.2</w:t>
            </w:r>
          </w:p>
        </w:tc>
        <w:tc>
          <w:tcPr>
            <w:tcW w:w="2734" w:type="dxa"/>
          </w:tcPr>
          <w:p w14:paraId="5E21B796" w14:textId="396CEB8A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4E8CD7A6" w14:textId="33A88676" w:rsidR="00B1693D" w:rsidRPr="005E24F2" w:rsidRDefault="00B1693D" w:rsidP="00B1693D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</w:rPr>
              <w:t xml:space="preserve">“RSP19 conducted operable-capacity analyses using projected systemwide demand forecasts and projected systemwide ICR values.” </w:t>
            </w:r>
            <w:r w:rsidRPr="005E24F2">
              <w:rPr>
                <w:rFonts w:cs="Arial"/>
                <w:b/>
                <w:bCs/>
              </w:rPr>
              <w:t xml:space="preserve">ISO conducted the analysis </w:t>
            </w:r>
            <w:r w:rsidR="009D3E02">
              <w:rPr>
                <w:rFonts w:cs="Arial"/>
                <w:b/>
                <w:bCs/>
              </w:rPr>
              <w:t>(</w:t>
            </w:r>
            <w:r w:rsidRPr="005E24F2">
              <w:rPr>
                <w:rFonts w:cs="Arial"/>
                <w:b/>
                <w:bCs/>
              </w:rPr>
              <w:t>not RSP19</w:t>
            </w:r>
            <w:r w:rsidR="009D3E02">
              <w:rPr>
                <w:rFonts w:cs="Arial"/>
                <w:b/>
                <w:bCs/>
              </w:rPr>
              <w:t>)</w:t>
            </w:r>
            <w:r w:rsidRPr="005E24F2">
              <w:rPr>
                <w:rFonts w:cs="Arial"/>
                <w:b/>
                <w:bCs/>
              </w:rPr>
              <w:t>.</w:t>
            </w:r>
          </w:p>
        </w:tc>
        <w:tc>
          <w:tcPr>
            <w:tcW w:w="4284" w:type="dxa"/>
          </w:tcPr>
          <w:p w14:paraId="0C39D333" w14:textId="77777777" w:rsidR="00B1693D" w:rsidRDefault="00B1693D" w:rsidP="00B1693D"/>
        </w:tc>
      </w:tr>
      <w:tr w:rsidR="00B1693D" w14:paraId="4AF0C93C" w14:textId="77777777" w:rsidTr="005E24F2">
        <w:tc>
          <w:tcPr>
            <w:tcW w:w="1543" w:type="dxa"/>
          </w:tcPr>
          <w:p w14:paraId="71DB9DB9" w14:textId="5CB17F3D" w:rsidR="00B1693D" w:rsidRDefault="00B1693D" w:rsidP="00B1693D">
            <w:r>
              <w:t>5</w:t>
            </w:r>
          </w:p>
        </w:tc>
        <w:tc>
          <w:tcPr>
            <w:tcW w:w="1731" w:type="dxa"/>
          </w:tcPr>
          <w:p w14:paraId="113EAB2F" w14:textId="206B3023" w:rsidR="00B1693D" w:rsidRDefault="00B1693D" w:rsidP="00B1693D">
            <w:r>
              <w:t>1.1.2</w:t>
            </w:r>
          </w:p>
        </w:tc>
        <w:tc>
          <w:tcPr>
            <w:tcW w:w="2734" w:type="dxa"/>
          </w:tcPr>
          <w:p w14:paraId="2C39EFFC" w14:textId="2294EBC5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45B85C15" w14:textId="4B22748C" w:rsidR="00B1693D" w:rsidRPr="005E24F2" w:rsidRDefault="00B1693D" w:rsidP="00B1693D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</w:rPr>
              <w:t xml:space="preserve">“Continuing to </w:t>
            </w:r>
            <w:r w:rsidRPr="005E24F2">
              <w:rPr>
                <w:rFonts w:cs="Arial"/>
                <w:strike/>
              </w:rPr>
              <w:t xml:space="preserve">properly </w:t>
            </w:r>
            <w:r w:rsidRPr="005E24F2">
              <w:rPr>
                <w:rFonts w:cs="Arial"/>
              </w:rPr>
              <w:t xml:space="preserve">locate and size </w:t>
            </w:r>
            <w:r w:rsidRPr="005E24F2">
              <w:rPr>
                <w:rFonts w:cs="Arial"/>
                <w:strike/>
              </w:rPr>
              <w:t xml:space="preserve">economical </w:t>
            </w:r>
            <w:r w:rsidRPr="005E24F2">
              <w:rPr>
                <w:rFonts w:cs="Arial"/>
              </w:rPr>
              <w:t>resources within major load pockets to replace resource retirements would decrease the amount of reserves required within load pockets and reduce the reliance on transmission facilities.”</w:t>
            </w:r>
            <w:bookmarkStart w:id="0" w:name="_GoBack"/>
            <w:bookmarkEnd w:id="0"/>
          </w:p>
        </w:tc>
        <w:tc>
          <w:tcPr>
            <w:tcW w:w="4284" w:type="dxa"/>
          </w:tcPr>
          <w:p w14:paraId="4CB15AAF" w14:textId="77777777" w:rsidR="00B1693D" w:rsidRDefault="00B1693D" w:rsidP="00B1693D"/>
        </w:tc>
      </w:tr>
      <w:tr w:rsidR="00942F8F" w14:paraId="5EE80892" w14:textId="77777777" w:rsidTr="005E24F2">
        <w:tc>
          <w:tcPr>
            <w:tcW w:w="1543" w:type="dxa"/>
          </w:tcPr>
          <w:p w14:paraId="4E40E635" w14:textId="6C0ABA8A" w:rsidR="00942F8F" w:rsidRDefault="00942F8F" w:rsidP="00B1693D">
            <w:r>
              <w:t>11</w:t>
            </w:r>
          </w:p>
        </w:tc>
        <w:tc>
          <w:tcPr>
            <w:tcW w:w="1731" w:type="dxa"/>
          </w:tcPr>
          <w:p w14:paraId="2ACC50DA" w14:textId="5AA98500" w:rsidR="00942F8F" w:rsidRDefault="00942F8F" w:rsidP="00B1693D">
            <w:r>
              <w:t>1.1.5.3</w:t>
            </w:r>
          </w:p>
        </w:tc>
        <w:tc>
          <w:tcPr>
            <w:tcW w:w="2734" w:type="dxa"/>
          </w:tcPr>
          <w:p w14:paraId="7B468D9D" w14:textId="50A3B533" w:rsidR="00942F8F" w:rsidRDefault="00942F8F" w:rsidP="00B1693D">
            <w:r>
              <w:t>NESCOE</w:t>
            </w:r>
          </w:p>
        </w:tc>
        <w:tc>
          <w:tcPr>
            <w:tcW w:w="4198" w:type="dxa"/>
          </w:tcPr>
          <w:p w14:paraId="5CB3B8BE" w14:textId="52D7249C" w:rsidR="00942F8F" w:rsidRPr="00942F8F" w:rsidRDefault="00942F8F" w:rsidP="00B1693D">
            <w:pPr>
              <w:jc w:val="left"/>
              <w:rPr>
                <w:rFonts w:cs="Arial"/>
                <w:spacing w:val="0"/>
              </w:rPr>
            </w:pPr>
            <w:r>
              <w:rPr>
                <w:rFonts w:cs="Arial"/>
              </w:rPr>
              <w:t>“</w:t>
            </w:r>
            <w:r w:rsidRPr="00942F8F">
              <w:rPr>
                <w:rFonts w:cs="Arial"/>
              </w:rPr>
              <w:t xml:space="preserve">Also, although National Grid has proposed a 1 </w:t>
            </w:r>
            <w:proofErr w:type="spellStart"/>
            <w:r w:rsidRPr="00942F8F">
              <w:rPr>
                <w:rFonts w:cs="Arial"/>
              </w:rPr>
              <w:t>Bcf</w:t>
            </w:r>
            <w:proofErr w:type="spellEnd"/>
            <w:r w:rsidRPr="00942F8F">
              <w:rPr>
                <w:rFonts w:cs="Arial"/>
              </w:rPr>
              <w:t xml:space="preserve"> LNG facility in Providence, Rhode Island for gas distribution company peak shaving, this improvement is not anticipated to directly benefit New England generators.”</w:t>
            </w:r>
            <w:r>
              <w:rPr>
                <w:rFonts w:cs="Arial"/>
              </w:rPr>
              <w:t xml:space="preserve"> </w:t>
            </w:r>
            <w:r w:rsidRPr="008F531C">
              <w:rPr>
                <w:rFonts w:cs="Arial"/>
                <w:b/>
                <w:bCs/>
              </w:rPr>
              <w:t>There is no explanation for this conclusion and no discussion of this in Section 7.</w:t>
            </w:r>
            <w:r w:rsidR="008F531C">
              <w:rPr>
                <w:rFonts w:cs="Arial"/>
                <w:b/>
                <w:bCs/>
              </w:rPr>
              <w:t xml:space="preserve">  </w:t>
            </w:r>
            <w:r w:rsidR="00F74FF8">
              <w:rPr>
                <w:rFonts w:cs="Arial"/>
                <w:b/>
                <w:bCs/>
              </w:rPr>
              <w:t>The only mention</w:t>
            </w:r>
            <w:r w:rsidR="008F531C">
              <w:rPr>
                <w:rFonts w:cs="Arial"/>
                <w:b/>
                <w:bCs/>
              </w:rPr>
              <w:t xml:space="preserve"> appear</w:t>
            </w:r>
            <w:r w:rsidR="00F74FF8">
              <w:rPr>
                <w:rFonts w:cs="Arial"/>
                <w:b/>
                <w:bCs/>
              </w:rPr>
              <w:t>s</w:t>
            </w:r>
            <w:r w:rsidR="008F531C">
              <w:rPr>
                <w:rFonts w:cs="Arial"/>
                <w:b/>
                <w:bCs/>
              </w:rPr>
              <w:t xml:space="preserve"> </w:t>
            </w:r>
            <w:r w:rsidR="00F74FF8">
              <w:rPr>
                <w:rFonts w:cs="Arial"/>
                <w:b/>
                <w:bCs/>
              </w:rPr>
              <w:t xml:space="preserve">to be </w:t>
            </w:r>
            <w:r w:rsidR="008F531C">
              <w:rPr>
                <w:rFonts w:cs="Arial"/>
                <w:b/>
                <w:bCs/>
              </w:rPr>
              <w:t>in the executive summary.</w:t>
            </w:r>
          </w:p>
        </w:tc>
        <w:tc>
          <w:tcPr>
            <w:tcW w:w="4284" w:type="dxa"/>
          </w:tcPr>
          <w:p w14:paraId="75C342D6" w14:textId="77777777" w:rsidR="00942F8F" w:rsidRDefault="00942F8F" w:rsidP="00B1693D"/>
        </w:tc>
      </w:tr>
      <w:tr w:rsidR="00B1693D" w14:paraId="4FE61EC5" w14:textId="77777777" w:rsidTr="005E24F2">
        <w:tc>
          <w:tcPr>
            <w:tcW w:w="1543" w:type="dxa"/>
          </w:tcPr>
          <w:p w14:paraId="1DC44F77" w14:textId="2CA7A67C" w:rsidR="00B1693D" w:rsidRDefault="00B1693D" w:rsidP="00B1693D">
            <w:r>
              <w:t>18</w:t>
            </w:r>
          </w:p>
        </w:tc>
        <w:tc>
          <w:tcPr>
            <w:tcW w:w="1731" w:type="dxa"/>
          </w:tcPr>
          <w:p w14:paraId="0F29558F" w14:textId="27DEE3C2" w:rsidR="00B1693D" w:rsidRDefault="00B1693D" w:rsidP="00B1693D">
            <w:r>
              <w:t>1.1.8</w:t>
            </w:r>
          </w:p>
        </w:tc>
        <w:tc>
          <w:tcPr>
            <w:tcW w:w="2734" w:type="dxa"/>
          </w:tcPr>
          <w:p w14:paraId="3FC413CF" w14:textId="4625A7DA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6038C344" w14:textId="367A65D0" w:rsidR="00B1693D" w:rsidRPr="00F74FF8" w:rsidRDefault="00B1693D" w:rsidP="00B1693D">
            <w:pPr>
              <w:jc w:val="left"/>
              <w:rPr>
                <w:rFonts w:cs="Arial"/>
                <w:b/>
                <w:bCs/>
              </w:rPr>
            </w:pPr>
            <w:r w:rsidRPr="00F74FF8">
              <w:rPr>
                <w:rFonts w:cs="Arial"/>
                <w:b/>
                <w:bCs/>
              </w:rPr>
              <w:t xml:space="preserve">Strike New England </w:t>
            </w:r>
            <w:proofErr w:type="spellStart"/>
            <w:r w:rsidRPr="00F74FF8">
              <w:rPr>
                <w:rFonts w:cs="Arial"/>
                <w:b/>
                <w:bCs/>
              </w:rPr>
              <w:t>Governors</w:t>
            </w:r>
            <w:proofErr w:type="spellEnd"/>
            <w:r w:rsidRPr="00F74FF8">
              <w:rPr>
                <w:rFonts w:cs="Arial"/>
                <w:b/>
                <w:bCs/>
              </w:rPr>
              <w:t xml:space="preserve"> Conference and replace with Coalition of Northeastern Governors</w:t>
            </w:r>
          </w:p>
        </w:tc>
        <w:tc>
          <w:tcPr>
            <w:tcW w:w="4284" w:type="dxa"/>
          </w:tcPr>
          <w:p w14:paraId="7CA7E416" w14:textId="77777777" w:rsidR="00B1693D" w:rsidRDefault="00B1693D" w:rsidP="00B1693D"/>
        </w:tc>
      </w:tr>
      <w:tr w:rsidR="00B1693D" w14:paraId="3CC3D5F8" w14:textId="77777777" w:rsidTr="005E24F2">
        <w:tc>
          <w:tcPr>
            <w:tcW w:w="1543" w:type="dxa"/>
          </w:tcPr>
          <w:p w14:paraId="1CD2214B" w14:textId="2D944A25" w:rsidR="00B1693D" w:rsidRDefault="00B1693D" w:rsidP="00B1693D">
            <w:r>
              <w:t>131</w:t>
            </w:r>
          </w:p>
        </w:tc>
        <w:tc>
          <w:tcPr>
            <w:tcW w:w="1731" w:type="dxa"/>
          </w:tcPr>
          <w:p w14:paraId="4453F105" w14:textId="5A2E7244" w:rsidR="00B1693D" w:rsidRDefault="00B1693D" w:rsidP="00B1693D">
            <w:r>
              <w:t>8</w:t>
            </w:r>
          </w:p>
        </w:tc>
        <w:tc>
          <w:tcPr>
            <w:tcW w:w="2734" w:type="dxa"/>
          </w:tcPr>
          <w:p w14:paraId="63521E30" w14:textId="2DA53462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00B1A9E1" w14:textId="12A5368A" w:rsidR="00B1693D" w:rsidRPr="00F950B2" w:rsidRDefault="00B1693D" w:rsidP="00B1693D">
            <w:pPr>
              <w:jc w:val="left"/>
              <w:rPr>
                <w:rFonts w:cs="Arial"/>
                <w:color w:val="000000"/>
              </w:rPr>
            </w:pPr>
            <w:r w:rsidRPr="005E24F2">
              <w:rPr>
                <w:rFonts w:cs="Arial"/>
                <w:color w:val="000000"/>
              </w:rPr>
              <w:t>“Various elements of the power system are subject to federal, regional, and state environmental laws and regulations controlling pollution, emissions, or discharges for protecting human health and the environment”</w:t>
            </w:r>
          </w:p>
          <w:p w14:paraId="605CFB51" w14:textId="7BF1E112" w:rsidR="00B1693D" w:rsidRPr="005E24F2" w:rsidRDefault="00B1693D" w:rsidP="00B1693D">
            <w:pPr>
              <w:jc w:val="left"/>
              <w:rPr>
                <w:rFonts w:cs="Arial"/>
                <w:b/>
                <w:bCs/>
                <w:spacing w:val="0"/>
              </w:rPr>
            </w:pPr>
            <w:r w:rsidRPr="005E24F2">
              <w:rPr>
                <w:rFonts w:cs="Arial"/>
                <w:b/>
                <w:bCs/>
                <w:color w:val="000000"/>
              </w:rPr>
              <w:t xml:space="preserve">Strike </w:t>
            </w:r>
            <w:r w:rsidR="005E026E">
              <w:rPr>
                <w:rFonts w:cs="Arial"/>
                <w:b/>
                <w:bCs/>
                <w:color w:val="000000"/>
              </w:rPr>
              <w:t>the word “</w:t>
            </w:r>
            <w:r w:rsidRPr="005E24F2">
              <w:rPr>
                <w:rFonts w:cs="Arial"/>
                <w:b/>
                <w:bCs/>
                <w:color w:val="000000"/>
              </w:rPr>
              <w:t>regional</w:t>
            </w:r>
            <w:r w:rsidR="005E026E">
              <w:rPr>
                <w:rFonts w:cs="Arial"/>
                <w:b/>
                <w:bCs/>
                <w:color w:val="000000"/>
              </w:rPr>
              <w:t>”</w:t>
            </w:r>
            <w:r w:rsidRPr="005E24F2">
              <w:rPr>
                <w:rFonts w:cs="Arial"/>
                <w:b/>
                <w:bCs/>
                <w:color w:val="000000"/>
              </w:rPr>
              <w:t xml:space="preserve">.  There are no regional laws or regulations. </w:t>
            </w:r>
          </w:p>
        </w:tc>
        <w:tc>
          <w:tcPr>
            <w:tcW w:w="4284" w:type="dxa"/>
          </w:tcPr>
          <w:p w14:paraId="6A223122" w14:textId="77777777" w:rsidR="00B1693D" w:rsidRDefault="00B1693D" w:rsidP="00B1693D"/>
        </w:tc>
      </w:tr>
      <w:tr w:rsidR="00B1693D" w14:paraId="04D2D783" w14:textId="77777777" w:rsidTr="005E24F2">
        <w:tc>
          <w:tcPr>
            <w:tcW w:w="1543" w:type="dxa"/>
          </w:tcPr>
          <w:p w14:paraId="3341072E" w14:textId="6689AE80" w:rsidR="00B1693D" w:rsidRDefault="00B1693D" w:rsidP="00B1693D">
            <w:r>
              <w:lastRenderedPageBreak/>
              <w:t>131</w:t>
            </w:r>
          </w:p>
        </w:tc>
        <w:tc>
          <w:tcPr>
            <w:tcW w:w="1731" w:type="dxa"/>
          </w:tcPr>
          <w:p w14:paraId="60BD2FB3" w14:textId="5EC50872" w:rsidR="00B1693D" w:rsidRDefault="00B1693D" w:rsidP="00B1693D">
            <w:r>
              <w:t>8</w:t>
            </w:r>
          </w:p>
        </w:tc>
        <w:tc>
          <w:tcPr>
            <w:tcW w:w="2734" w:type="dxa"/>
          </w:tcPr>
          <w:p w14:paraId="54DBC483" w14:textId="35D75371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0E0EB14E" w14:textId="4561465F" w:rsidR="00B1693D" w:rsidRPr="005E24F2" w:rsidRDefault="00B1693D" w:rsidP="00B1693D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  <w:color w:val="000000"/>
              </w:rPr>
              <w:t xml:space="preserve">However, to date, most national, regional, and individual state regulators have provided compliance options in several recent rulemakings and permitting decisions, recognizing the reliability value that low-capacity fossil steam generators (primarily oil-fired units) provide in maintaining energy security (see Section 7.2).” </w:t>
            </w:r>
            <w:r w:rsidRPr="005E24F2">
              <w:rPr>
                <w:rFonts w:cs="Arial"/>
                <w:b/>
                <w:bCs/>
                <w:color w:val="000000"/>
              </w:rPr>
              <w:t xml:space="preserve">Strike </w:t>
            </w:r>
            <w:r w:rsidR="005E026E">
              <w:rPr>
                <w:rFonts w:cs="Arial"/>
                <w:b/>
                <w:bCs/>
                <w:color w:val="000000"/>
              </w:rPr>
              <w:t>the word “</w:t>
            </w:r>
            <w:r w:rsidRPr="005E24F2">
              <w:rPr>
                <w:rFonts w:cs="Arial"/>
                <w:b/>
                <w:bCs/>
                <w:color w:val="000000"/>
              </w:rPr>
              <w:t>regional</w:t>
            </w:r>
            <w:r w:rsidR="005E026E">
              <w:rPr>
                <w:rFonts w:cs="Arial"/>
                <w:b/>
                <w:bCs/>
                <w:color w:val="000000"/>
              </w:rPr>
              <w:t>”</w:t>
            </w:r>
            <w:r w:rsidRPr="005E24F2">
              <w:rPr>
                <w:rFonts w:cs="Arial"/>
                <w:b/>
                <w:bCs/>
                <w:color w:val="000000"/>
              </w:rPr>
              <w:t>.  There are no regional regulators.</w:t>
            </w:r>
          </w:p>
        </w:tc>
        <w:tc>
          <w:tcPr>
            <w:tcW w:w="4284" w:type="dxa"/>
          </w:tcPr>
          <w:p w14:paraId="64B4BD66" w14:textId="77777777" w:rsidR="00B1693D" w:rsidRDefault="00B1693D" w:rsidP="00B1693D"/>
        </w:tc>
      </w:tr>
      <w:tr w:rsidR="00B1693D" w14:paraId="12145254" w14:textId="77777777" w:rsidTr="005E24F2">
        <w:tc>
          <w:tcPr>
            <w:tcW w:w="1543" w:type="dxa"/>
          </w:tcPr>
          <w:p w14:paraId="522213CA" w14:textId="1D841851" w:rsidR="00B1693D" w:rsidRDefault="00B1693D" w:rsidP="00B1693D">
            <w:r>
              <w:t>153</w:t>
            </w:r>
          </w:p>
        </w:tc>
        <w:tc>
          <w:tcPr>
            <w:tcW w:w="1731" w:type="dxa"/>
          </w:tcPr>
          <w:p w14:paraId="005E1091" w14:textId="21930C3F" w:rsidR="00B1693D" w:rsidRDefault="00B1693D" w:rsidP="00B1693D">
            <w:r>
              <w:t>8.8</w:t>
            </w:r>
          </w:p>
        </w:tc>
        <w:tc>
          <w:tcPr>
            <w:tcW w:w="2734" w:type="dxa"/>
          </w:tcPr>
          <w:p w14:paraId="33AE3888" w14:textId="20A8E69A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1E0A3500" w14:textId="77777777" w:rsidR="00B1693D" w:rsidRPr="005E24F2" w:rsidRDefault="00B1693D" w:rsidP="00B1693D">
            <w:pPr>
              <w:jc w:val="left"/>
              <w:rPr>
                <w:rFonts w:cs="Arial"/>
                <w:spacing w:val="0"/>
              </w:rPr>
            </w:pPr>
            <w:r w:rsidRPr="005E24F2">
              <w:rPr>
                <w:rFonts w:cs="Arial"/>
                <w:color w:val="000000"/>
              </w:rPr>
              <w:t>“Existing and pending federal, regional, and state environmental regulations may require generators to consider adding air pollution control devices; modifying or reducing water use and wastewater discharges; and, in some cases, limiting operations.”</w:t>
            </w:r>
          </w:p>
          <w:p w14:paraId="3DBB998B" w14:textId="3C15AE05" w:rsidR="00B1693D" w:rsidRPr="005E24F2" w:rsidRDefault="00B1693D" w:rsidP="00B1693D">
            <w:pPr>
              <w:jc w:val="left"/>
              <w:rPr>
                <w:rFonts w:cs="Arial"/>
                <w:b/>
                <w:bCs/>
              </w:rPr>
            </w:pPr>
            <w:r w:rsidRPr="005E24F2">
              <w:rPr>
                <w:rFonts w:cs="Arial"/>
                <w:b/>
                <w:bCs/>
              </w:rPr>
              <w:t xml:space="preserve">Strike </w:t>
            </w:r>
            <w:r w:rsidR="00A24C6C">
              <w:rPr>
                <w:rFonts w:cs="Arial"/>
                <w:b/>
                <w:bCs/>
              </w:rPr>
              <w:t>the word “</w:t>
            </w:r>
            <w:r w:rsidRPr="005E24F2">
              <w:rPr>
                <w:rFonts w:cs="Arial"/>
                <w:b/>
                <w:bCs/>
              </w:rPr>
              <w:t>regional</w:t>
            </w:r>
            <w:r w:rsidR="00A24C6C">
              <w:rPr>
                <w:rFonts w:cs="Arial"/>
                <w:b/>
                <w:bCs/>
              </w:rPr>
              <w:t>”</w:t>
            </w:r>
            <w:r w:rsidRPr="005E24F2">
              <w:rPr>
                <w:rFonts w:cs="Arial"/>
                <w:b/>
                <w:bCs/>
              </w:rPr>
              <w:t>.</w:t>
            </w:r>
            <w:r w:rsidR="00A24C6C">
              <w:rPr>
                <w:rFonts w:cs="Arial"/>
                <w:b/>
                <w:bCs/>
              </w:rPr>
              <w:t xml:space="preserve"> There are no regional regulations. </w:t>
            </w:r>
          </w:p>
        </w:tc>
        <w:tc>
          <w:tcPr>
            <w:tcW w:w="4284" w:type="dxa"/>
          </w:tcPr>
          <w:p w14:paraId="60FE2D14" w14:textId="77777777" w:rsidR="00B1693D" w:rsidRDefault="00B1693D" w:rsidP="00B1693D"/>
        </w:tc>
      </w:tr>
      <w:tr w:rsidR="00B1693D" w14:paraId="21639F4D" w14:textId="77777777" w:rsidTr="005E24F2">
        <w:tc>
          <w:tcPr>
            <w:tcW w:w="1543" w:type="dxa"/>
          </w:tcPr>
          <w:p w14:paraId="30A70FDF" w14:textId="26C9DB99" w:rsidR="00B1693D" w:rsidRDefault="00B1693D" w:rsidP="00B1693D">
            <w:r>
              <w:t>154</w:t>
            </w:r>
          </w:p>
        </w:tc>
        <w:tc>
          <w:tcPr>
            <w:tcW w:w="1731" w:type="dxa"/>
          </w:tcPr>
          <w:p w14:paraId="1418B010" w14:textId="21498E14" w:rsidR="00B1693D" w:rsidRDefault="00B1693D" w:rsidP="00B1693D">
            <w:r>
              <w:t>9</w:t>
            </w:r>
          </w:p>
        </w:tc>
        <w:tc>
          <w:tcPr>
            <w:tcW w:w="2734" w:type="dxa"/>
          </w:tcPr>
          <w:p w14:paraId="12270552" w14:textId="0AA35F8A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476BCEFF" w14:textId="0DC3D953" w:rsidR="00B1693D" w:rsidRPr="005E24F2" w:rsidRDefault="00B1693D" w:rsidP="00B1693D">
            <w:pPr>
              <w:jc w:val="left"/>
              <w:rPr>
                <w:rFonts w:cs="Arial"/>
                <w:b/>
                <w:bCs/>
                <w:spacing w:val="0"/>
              </w:rPr>
            </w:pPr>
            <w:r w:rsidRPr="005E24F2">
              <w:rPr>
                <w:rFonts w:cs="Arial"/>
                <w:color w:val="000000"/>
              </w:rPr>
              <w:t xml:space="preserve">“A longer-term strategy for decreasing overall carbon dioxide emissions calls for coupling the growth of renewable electric energy supplies with the electrification of the transportation and heating sectors.” </w:t>
            </w:r>
            <w:r w:rsidR="00A24C6C" w:rsidRPr="00B7020B">
              <w:rPr>
                <w:b/>
                <w:bCs/>
              </w:rPr>
              <w:t>This should indicate whose strategy this is.</w:t>
            </w:r>
          </w:p>
          <w:p w14:paraId="7E03D468" w14:textId="77777777" w:rsidR="00B1693D" w:rsidRPr="005E24F2" w:rsidRDefault="00B1693D" w:rsidP="00B1693D">
            <w:pPr>
              <w:jc w:val="left"/>
              <w:rPr>
                <w:rFonts w:cs="Arial"/>
              </w:rPr>
            </w:pPr>
          </w:p>
        </w:tc>
        <w:tc>
          <w:tcPr>
            <w:tcW w:w="4284" w:type="dxa"/>
          </w:tcPr>
          <w:p w14:paraId="73F88DC4" w14:textId="77777777" w:rsidR="00B1693D" w:rsidRDefault="00B1693D" w:rsidP="00B1693D"/>
        </w:tc>
      </w:tr>
      <w:tr w:rsidR="00B1693D" w14:paraId="739E6545" w14:textId="77777777" w:rsidTr="005E24F2">
        <w:tc>
          <w:tcPr>
            <w:tcW w:w="1543" w:type="dxa"/>
          </w:tcPr>
          <w:p w14:paraId="1CD00AEA" w14:textId="014EBE26" w:rsidR="00B1693D" w:rsidRDefault="00B1693D" w:rsidP="00B1693D">
            <w:r>
              <w:t>154</w:t>
            </w:r>
          </w:p>
        </w:tc>
        <w:tc>
          <w:tcPr>
            <w:tcW w:w="1731" w:type="dxa"/>
          </w:tcPr>
          <w:p w14:paraId="743F7E4F" w14:textId="44E16B95" w:rsidR="00B1693D" w:rsidRDefault="00B1693D" w:rsidP="00B1693D">
            <w:r>
              <w:t>9.1.1</w:t>
            </w:r>
          </w:p>
        </w:tc>
        <w:tc>
          <w:tcPr>
            <w:tcW w:w="2734" w:type="dxa"/>
          </w:tcPr>
          <w:p w14:paraId="42DD8B98" w14:textId="3894F073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16E8FA51" w14:textId="7AC971C9" w:rsidR="00B1693D" w:rsidRPr="00942FC0" w:rsidRDefault="00B1693D" w:rsidP="00B1693D">
            <w:pPr>
              <w:jc w:val="left"/>
              <w:rPr>
                <w:rFonts w:ascii="Times New Roman" w:hAnsi="Times New Roman"/>
                <w:spacing w:val="0"/>
              </w:rPr>
            </w:pPr>
            <w:r>
              <w:rPr>
                <w:color w:val="000000"/>
                <w:sz w:val="28"/>
                <w:szCs w:val="28"/>
              </w:rPr>
              <w:t>“</w:t>
            </w:r>
            <w:r w:rsidRPr="00942FC0">
              <w:rPr>
                <w:color w:val="000000"/>
              </w:rPr>
              <w:t>Additionally, the states are cooperating on promoting environmentally friendly policies and have committed to work together to ‘evaluate</w:t>
            </w:r>
            <w:r w:rsidRPr="00942FC0">
              <w:rPr>
                <w:rStyle w:val="apple-converted-space"/>
                <w:color w:val="000000"/>
              </w:rPr>
              <w:t> </w:t>
            </w:r>
            <w:r w:rsidRPr="00942FC0">
              <w:rPr>
                <w:strike/>
                <w:color w:val="000000"/>
              </w:rPr>
              <w:t>regional</w:t>
            </w:r>
            <w:r w:rsidRPr="00942FC0">
              <w:rPr>
                <w:rStyle w:val="apple-converted-space"/>
                <w:strike/>
                <w:color w:val="000000"/>
              </w:rPr>
              <w:t> </w:t>
            </w:r>
            <w:r w:rsidRPr="00942FC0">
              <w:rPr>
                <w:color w:val="FF0000"/>
              </w:rPr>
              <w:t>market-based</w:t>
            </w:r>
            <w:r w:rsidRPr="00942FC0">
              <w:rPr>
                <w:rStyle w:val="apple-converted-space"/>
                <w:color w:val="FF0000"/>
              </w:rPr>
              <w:t> </w:t>
            </w:r>
            <w:r w:rsidRPr="00942FC0">
              <w:rPr>
                <w:color w:val="000000"/>
              </w:rPr>
              <w:t>mechanisms</w:t>
            </w:r>
            <w:r w:rsidRPr="00942FC0">
              <w:rPr>
                <w:rStyle w:val="apple-converted-space"/>
                <w:color w:val="000000"/>
              </w:rPr>
              <w:t> </w:t>
            </w:r>
            <w:r w:rsidRPr="00942FC0">
              <w:rPr>
                <w:color w:val="FF0000"/>
              </w:rPr>
              <w:t>that value the contribution that existing nuclear generation resources make to regional energy security and winter reliability.’</w:t>
            </w:r>
            <w:r w:rsidRPr="00942FC0">
              <w:rPr>
                <w:rStyle w:val="apple-converted-space"/>
                <w:color w:val="000000"/>
              </w:rPr>
              <w:t> </w:t>
            </w:r>
            <w:r w:rsidRPr="00942FC0">
              <w:rPr>
                <w:strike/>
                <w:color w:val="000000"/>
              </w:rPr>
              <w:t xml:space="preserve">to help maintain critical nuclear and clean </w:t>
            </w:r>
            <w:r w:rsidRPr="00942FC0">
              <w:rPr>
                <w:strike/>
                <w:color w:val="000000"/>
              </w:rPr>
              <w:lastRenderedPageBreak/>
              <w:t>energy facilities</w:t>
            </w:r>
            <w:r w:rsidRPr="00942FC0">
              <w:rPr>
                <w:rStyle w:val="apple-converted-space"/>
                <w:color w:val="000000"/>
              </w:rPr>
              <w:t> </w:t>
            </w:r>
            <w:r w:rsidRPr="00942FC0">
              <w:rPr>
                <w:color w:val="000000"/>
              </w:rPr>
              <w:t xml:space="preserve">(Section 10.1).” </w:t>
            </w:r>
            <w:r w:rsidR="003C6ADF" w:rsidRPr="00B7020B">
              <w:rPr>
                <w:b/>
                <w:bCs/>
                <w:color w:val="000000"/>
              </w:rPr>
              <w:t xml:space="preserve">To ensure accuracy, </w:t>
            </w:r>
            <w:r w:rsidR="003C6ADF" w:rsidRPr="003C6ADF">
              <w:rPr>
                <w:b/>
                <w:bCs/>
                <w:color w:val="000000"/>
              </w:rPr>
              <w:t>s</w:t>
            </w:r>
            <w:r w:rsidRPr="003C6ADF">
              <w:rPr>
                <w:b/>
                <w:bCs/>
                <w:color w:val="000000"/>
              </w:rPr>
              <w:t xml:space="preserve">uggest revising </w:t>
            </w:r>
            <w:r w:rsidR="00A24C6C" w:rsidRPr="003C6ADF">
              <w:rPr>
                <w:b/>
                <w:bCs/>
                <w:color w:val="000000"/>
              </w:rPr>
              <w:t>this</w:t>
            </w:r>
            <w:r w:rsidR="00A24C6C">
              <w:rPr>
                <w:b/>
                <w:bCs/>
                <w:color w:val="000000"/>
              </w:rPr>
              <w:t xml:space="preserve"> </w:t>
            </w:r>
            <w:r w:rsidRPr="00942FC0">
              <w:rPr>
                <w:b/>
                <w:bCs/>
                <w:color w:val="000000"/>
              </w:rPr>
              <w:t xml:space="preserve">to quote from the </w:t>
            </w:r>
            <w:r w:rsidR="00A24C6C">
              <w:rPr>
                <w:b/>
                <w:bCs/>
                <w:color w:val="000000"/>
              </w:rPr>
              <w:t>source document</w:t>
            </w:r>
            <w:r w:rsidRPr="00942FC0">
              <w:rPr>
                <w:b/>
                <w:bCs/>
                <w:color w:val="000000"/>
              </w:rPr>
              <w:t xml:space="preserve"> rather than characterizing</w:t>
            </w:r>
            <w:r w:rsidR="00A24C6C">
              <w:rPr>
                <w:b/>
                <w:bCs/>
                <w:color w:val="000000"/>
              </w:rPr>
              <w:t xml:space="preserve"> it</w:t>
            </w:r>
            <w:r w:rsidRPr="00942FC0">
              <w:rPr>
                <w:b/>
                <w:bCs/>
                <w:color w:val="000000"/>
              </w:rPr>
              <w:t>.</w:t>
            </w:r>
          </w:p>
          <w:p w14:paraId="48411977" w14:textId="77777777" w:rsidR="00B1693D" w:rsidRPr="005E24F2" w:rsidRDefault="00B1693D" w:rsidP="00B1693D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4284" w:type="dxa"/>
          </w:tcPr>
          <w:p w14:paraId="047ABC81" w14:textId="25A5A108" w:rsidR="00B1693D" w:rsidRDefault="00B1693D" w:rsidP="00B1693D"/>
        </w:tc>
      </w:tr>
      <w:tr w:rsidR="00B1693D" w14:paraId="5A8B2568" w14:textId="77777777" w:rsidTr="005E24F2">
        <w:tc>
          <w:tcPr>
            <w:tcW w:w="1543" w:type="dxa"/>
          </w:tcPr>
          <w:p w14:paraId="05E313A2" w14:textId="0E94A737" w:rsidR="00B1693D" w:rsidRDefault="00B1693D" w:rsidP="00B1693D">
            <w:r>
              <w:t>154</w:t>
            </w:r>
          </w:p>
        </w:tc>
        <w:tc>
          <w:tcPr>
            <w:tcW w:w="1731" w:type="dxa"/>
          </w:tcPr>
          <w:p w14:paraId="7374EC57" w14:textId="45FBEB21" w:rsidR="00B1693D" w:rsidRDefault="00B1693D" w:rsidP="00B1693D">
            <w:r>
              <w:t>9.1.1</w:t>
            </w:r>
          </w:p>
        </w:tc>
        <w:tc>
          <w:tcPr>
            <w:tcW w:w="2734" w:type="dxa"/>
          </w:tcPr>
          <w:p w14:paraId="679BB22D" w14:textId="44D931E9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5B0F49D4" w14:textId="42702E1C" w:rsidR="00B1693D" w:rsidRPr="005E24F2" w:rsidRDefault="00B1693D" w:rsidP="003C6ADF">
            <w:pPr>
              <w:jc w:val="left"/>
              <w:rPr>
                <w:rFonts w:cs="Arial"/>
              </w:rPr>
            </w:pPr>
            <w:r w:rsidRPr="005E24F2">
              <w:rPr>
                <w:rFonts w:cs="Arial"/>
                <w:color w:val="000000"/>
              </w:rPr>
              <w:t>“The governors also reaffirmed their commitment to advancing a diverse regional energy supply and reduced carbon emissions through increased clean energy generation and energy-efficiency measures and cooperation with the neighboring Canadian provinces (see Section 10.1.4</w:t>
            </w:r>
            <w:proofErr w:type="gramStart"/>
            <w:r w:rsidRPr="005E24F2">
              <w:rPr>
                <w:rFonts w:cs="Arial"/>
                <w:color w:val="000000"/>
              </w:rPr>
              <w:t>)”  </w:t>
            </w:r>
            <w:r w:rsidRPr="005E24F2">
              <w:rPr>
                <w:rStyle w:val="apple-converted-space"/>
                <w:rFonts w:cs="Arial"/>
                <w:color w:val="000000"/>
              </w:rPr>
              <w:t> </w:t>
            </w:r>
            <w:proofErr w:type="gramEnd"/>
            <w:r w:rsidR="003C6ADF" w:rsidRPr="00B7020B">
              <w:rPr>
                <w:rStyle w:val="apple-converted-space"/>
                <w:rFonts w:cs="Arial"/>
                <w:b/>
                <w:bCs/>
                <w:color w:val="000000"/>
              </w:rPr>
              <w:t>Same comment as above. Recommend quote from source document for accuracy.</w:t>
            </w:r>
            <w:r w:rsidR="003C6ADF">
              <w:rPr>
                <w:rStyle w:val="apple-converted-space"/>
                <w:rFonts w:cs="Arial"/>
                <w:color w:val="000000"/>
              </w:rPr>
              <w:t xml:space="preserve"> </w:t>
            </w:r>
          </w:p>
        </w:tc>
        <w:tc>
          <w:tcPr>
            <w:tcW w:w="4284" w:type="dxa"/>
          </w:tcPr>
          <w:p w14:paraId="74902FEA" w14:textId="77777777" w:rsidR="00B1693D" w:rsidRDefault="00B1693D" w:rsidP="00B1693D"/>
        </w:tc>
      </w:tr>
      <w:tr w:rsidR="00B1693D" w14:paraId="5039C6E9" w14:textId="77777777" w:rsidTr="005E24F2">
        <w:tc>
          <w:tcPr>
            <w:tcW w:w="1543" w:type="dxa"/>
          </w:tcPr>
          <w:p w14:paraId="474E6C9B" w14:textId="6352DFA9" w:rsidR="00B1693D" w:rsidRDefault="00B1693D" w:rsidP="00B1693D">
            <w:r>
              <w:t>172</w:t>
            </w:r>
          </w:p>
        </w:tc>
        <w:tc>
          <w:tcPr>
            <w:tcW w:w="1731" w:type="dxa"/>
          </w:tcPr>
          <w:p w14:paraId="26A9540C" w14:textId="7D5B51F3" w:rsidR="00B1693D" w:rsidRDefault="00B1693D" w:rsidP="00B1693D">
            <w:r>
              <w:t>10.1.3</w:t>
            </w:r>
          </w:p>
        </w:tc>
        <w:tc>
          <w:tcPr>
            <w:tcW w:w="2734" w:type="dxa"/>
          </w:tcPr>
          <w:p w14:paraId="490A0CC0" w14:textId="5B5C9215" w:rsidR="00B1693D" w:rsidRDefault="00B1693D" w:rsidP="00B1693D">
            <w:r>
              <w:t>NESCOE</w:t>
            </w:r>
          </w:p>
        </w:tc>
        <w:tc>
          <w:tcPr>
            <w:tcW w:w="4198" w:type="dxa"/>
          </w:tcPr>
          <w:p w14:paraId="3363C546" w14:textId="076715E4" w:rsidR="00B1693D" w:rsidRPr="005E24F2" w:rsidRDefault="00B1693D" w:rsidP="00B1693D">
            <w:pPr>
              <w:jc w:val="left"/>
              <w:rPr>
                <w:rFonts w:cs="Arial"/>
                <w:spacing w:val="0"/>
              </w:rPr>
            </w:pPr>
            <w:r w:rsidRPr="005E24F2">
              <w:rPr>
                <w:rFonts w:cs="Arial"/>
                <w:color w:val="000000"/>
              </w:rPr>
              <w:t>“The six New England governors are committed to diversifying the regional energy supply, promoting renewable resource development and energy efficiency, and reducing carbon dioxide and other greenhouse gas emissions."  </w:t>
            </w:r>
            <w:r w:rsidR="003C6ADF">
              <w:rPr>
                <w:rFonts w:cs="Arial"/>
                <w:b/>
                <w:bCs/>
                <w:color w:val="000000"/>
              </w:rPr>
              <w:t xml:space="preserve">Same comment as above. </w:t>
            </w:r>
          </w:p>
          <w:p w14:paraId="21980B07" w14:textId="77777777" w:rsidR="00B1693D" w:rsidRPr="005E24F2" w:rsidRDefault="00B1693D" w:rsidP="00B1693D">
            <w:pPr>
              <w:jc w:val="left"/>
              <w:rPr>
                <w:rFonts w:cs="Arial"/>
              </w:rPr>
            </w:pPr>
          </w:p>
        </w:tc>
        <w:tc>
          <w:tcPr>
            <w:tcW w:w="4284" w:type="dxa"/>
          </w:tcPr>
          <w:p w14:paraId="60EBC6E2" w14:textId="77777777" w:rsidR="00B1693D" w:rsidRDefault="00B1693D" w:rsidP="00B1693D"/>
        </w:tc>
      </w:tr>
      <w:tr w:rsidR="00F950B2" w14:paraId="3AC15EDF" w14:textId="77777777" w:rsidTr="005E24F2">
        <w:tc>
          <w:tcPr>
            <w:tcW w:w="1543" w:type="dxa"/>
          </w:tcPr>
          <w:p w14:paraId="4D515F57" w14:textId="77777777" w:rsidR="00F950B2" w:rsidRDefault="00F950B2" w:rsidP="00F950B2"/>
        </w:tc>
        <w:tc>
          <w:tcPr>
            <w:tcW w:w="1731" w:type="dxa"/>
          </w:tcPr>
          <w:p w14:paraId="45C37009" w14:textId="77777777" w:rsidR="00F950B2" w:rsidRDefault="00F950B2" w:rsidP="00F950B2"/>
        </w:tc>
        <w:tc>
          <w:tcPr>
            <w:tcW w:w="2734" w:type="dxa"/>
          </w:tcPr>
          <w:p w14:paraId="75ADE487" w14:textId="77777777" w:rsidR="00F950B2" w:rsidRDefault="00F950B2" w:rsidP="00F950B2"/>
        </w:tc>
        <w:tc>
          <w:tcPr>
            <w:tcW w:w="4198" w:type="dxa"/>
          </w:tcPr>
          <w:p w14:paraId="2B251863" w14:textId="77777777" w:rsidR="00F950B2" w:rsidRPr="005E24F2" w:rsidRDefault="00F950B2" w:rsidP="00F950B2">
            <w:pPr>
              <w:jc w:val="left"/>
              <w:rPr>
                <w:rFonts w:cs="Arial"/>
              </w:rPr>
            </w:pPr>
          </w:p>
        </w:tc>
        <w:tc>
          <w:tcPr>
            <w:tcW w:w="4284" w:type="dxa"/>
          </w:tcPr>
          <w:p w14:paraId="492565DB" w14:textId="77777777" w:rsidR="00F950B2" w:rsidRDefault="00F950B2" w:rsidP="00F950B2"/>
        </w:tc>
      </w:tr>
      <w:tr w:rsidR="00F950B2" w14:paraId="2A72B34E" w14:textId="77777777" w:rsidTr="005E24F2">
        <w:tc>
          <w:tcPr>
            <w:tcW w:w="1543" w:type="dxa"/>
          </w:tcPr>
          <w:p w14:paraId="27616276" w14:textId="77777777" w:rsidR="00F950B2" w:rsidRDefault="00F950B2" w:rsidP="00F950B2"/>
        </w:tc>
        <w:tc>
          <w:tcPr>
            <w:tcW w:w="1731" w:type="dxa"/>
          </w:tcPr>
          <w:p w14:paraId="5E0B0D5A" w14:textId="77777777" w:rsidR="00F950B2" w:rsidRDefault="00F950B2" w:rsidP="00F950B2"/>
        </w:tc>
        <w:tc>
          <w:tcPr>
            <w:tcW w:w="2734" w:type="dxa"/>
          </w:tcPr>
          <w:p w14:paraId="690C1048" w14:textId="77777777" w:rsidR="00F950B2" w:rsidRDefault="00F950B2" w:rsidP="00F950B2"/>
        </w:tc>
        <w:tc>
          <w:tcPr>
            <w:tcW w:w="4198" w:type="dxa"/>
          </w:tcPr>
          <w:p w14:paraId="0ED98B27" w14:textId="77777777" w:rsidR="00F950B2" w:rsidRPr="005E24F2" w:rsidRDefault="00F950B2" w:rsidP="00F950B2">
            <w:pPr>
              <w:jc w:val="left"/>
              <w:rPr>
                <w:rFonts w:cs="Arial"/>
              </w:rPr>
            </w:pPr>
          </w:p>
        </w:tc>
        <w:tc>
          <w:tcPr>
            <w:tcW w:w="4284" w:type="dxa"/>
          </w:tcPr>
          <w:p w14:paraId="4ABC0759" w14:textId="77777777" w:rsidR="00F950B2" w:rsidRDefault="00F950B2" w:rsidP="00F950B2"/>
        </w:tc>
      </w:tr>
      <w:tr w:rsidR="00F950B2" w14:paraId="5B743F53" w14:textId="77777777" w:rsidTr="005E24F2">
        <w:tc>
          <w:tcPr>
            <w:tcW w:w="1543" w:type="dxa"/>
          </w:tcPr>
          <w:p w14:paraId="0D55863D" w14:textId="77777777" w:rsidR="00F950B2" w:rsidRDefault="00F950B2" w:rsidP="00F950B2"/>
        </w:tc>
        <w:tc>
          <w:tcPr>
            <w:tcW w:w="1731" w:type="dxa"/>
          </w:tcPr>
          <w:p w14:paraId="250B8FE7" w14:textId="77777777" w:rsidR="00F950B2" w:rsidRDefault="00F950B2" w:rsidP="00F950B2"/>
        </w:tc>
        <w:tc>
          <w:tcPr>
            <w:tcW w:w="2734" w:type="dxa"/>
          </w:tcPr>
          <w:p w14:paraId="479C5E2B" w14:textId="77777777" w:rsidR="00F950B2" w:rsidRDefault="00F950B2" w:rsidP="00F950B2"/>
        </w:tc>
        <w:tc>
          <w:tcPr>
            <w:tcW w:w="4198" w:type="dxa"/>
          </w:tcPr>
          <w:p w14:paraId="54D57BE0" w14:textId="77777777" w:rsidR="00F950B2" w:rsidRPr="005E24F2" w:rsidRDefault="00F950B2" w:rsidP="00F950B2">
            <w:pPr>
              <w:jc w:val="left"/>
              <w:rPr>
                <w:rFonts w:cs="Arial"/>
              </w:rPr>
            </w:pPr>
          </w:p>
        </w:tc>
        <w:tc>
          <w:tcPr>
            <w:tcW w:w="4284" w:type="dxa"/>
          </w:tcPr>
          <w:p w14:paraId="1CFE1B91" w14:textId="77777777" w:rsidR="00F950B2" w:rsidRDefault="00F950B2" w:rsidP="00F950B2"/>
        </w:tc>
      </w:tr>
      <w:tr w:rsidR="00F950B2" w14:paraId="56797588" w14:textId="77777777" w:rsidTr="005E24F2">
        <w:tc>
          <w:tcPr>
            <w:tcW w:w="1543" w:type="dxa"/>
          </w:tcPr>
          <w:p w14:paraId="15AE2F18" w14:textId="77777777" w:rsidR="00F950B2" w:rsidRDefault="00F950B2" w:rsidP="00F950B2"/>
        </w:tc>
        <w:tc>
          <w:tcPr>
            <w:tcW w:w="1731" w:type="dxa"/>
          </w:tcPr>
          <w:p w14:paraId="56515A53" w14:textId="77777777" w:rsidR="00F950B2" w:rsidRDefault="00F950B2" w:rsidP="00F950B2"/>
        </w:tc>
        <w:tc>
          <w:tcPr>
            <w:tcW w:w="2734" w:type="dxa"/>
          </w:tcPr>
          <w:p w14:paraId="0A02FB3F" w14:textId="77777777" w:rsidR="00F950B2" w:rsidRDefault="00F950B2" w:rsidP="00F950B2"/>
        </w:tc>
        <w:tc>
          <w:tcPr>
            <w:tcW w:w="4198" w:type="dxa"/>
          </w:tcPr>
          <w:p w14:paraId="2F6D523D" w14:textId="77777777" w:rsidR="00F950B2" w:rsidRDefault="00F950B2" w:rsidP="00F950B2">
            <w:pPr>
              <w:jc w:val="left"/>
            </w:pPr>
          </w:p>
        </w:tc>
        <w:tc>
          <w:tcPr>
            <w:tcW w:w="4284" w:type="dxa"/>
          </w:tcPr>
          <w:p w14:paraId="0FF8CA66" w14:textId="77777777" w:rsidR="00F950B2" w:rsidRDefault="00F950B2" w:rsidP="00F950B2"/>
        </w:tc>
      </w:tr>
      <w:tr w:rsidR="00F950B2" w14:paraId="510632F2" w14:textId="77777777" w:rsidTr="005E24F2">
        <w:tc>
          <w:tcPr>
            <w:tcW w:w="1543" w:type="dxa"/>
          </w:tcPr>
          <w:p w14:paraId="0C9ED161" w14:textId="77777777" w:rsidR="00F950B2" w:rsidRDefault="00F950B2" w:rsidP="00F950B2"/>
        </w:tc>
        <w:tc>
          <w:tcPr>
            <w:tcW w:w="1731" w:type="dxa"/>
          </w:tcPr>
          <w:p w14:paraId="43D32A17" w14:textId="77777777" w:rsidR="00F950B2" w:rsidRDefault="00F950B2" w:rsidP="00F950B2"/>
        </w:tc>
        <w:tc>
          <w:tcPr>
            <w:tcW w:w="2734" w:type="dxa"/>
          </w:tcPr>
          <w:p w14:paraId="17028282" w14:textId="77777777" w:rsidR="00F950B2" w:rsidRDefault="00F950B2" w:rsidP="00F950B2"/>
        </w:tc>
        <w:tc>
          <w:tcPr>
            <w:tcW w:w="4198" w:type="dxa"/>
          </w:tcPr>
          <w:p w14:paraId="56557A02" w14:textId="77777777" w:rsidR="00F950B2" w:rsidRDefault="00F950B2" w:rsidP="00F950B2"/>
        </w:tc>
        <w:tc>
          <w:tcPr>
            <w:tcW w:w="4284" w:type="dxa"/>
          </w:tcPr>
          <w:p w14:paraId="28369531" w14:textId="77777777" w:rsidR="00F950B2" w:rsidRDefault="00F950B2" w:rsidP="00F950B2"/>
        </w:tc>
      </w:tr>
      <w:tr w:rsidR="00F950B2" w14:paraId="7F197954" w14:textId="77777777" w:rsidTr="005E24F2">
        <w:tc>
          <w:tcPr>
            <w:tcW w:w="1543" w:type="dxa"/>
          </w:tcPr>
          <w:p w14:paraId="75DD45F4" w14:textId="77777777" w:rsidR="00F950B2" w:rsidRDefault="00F950B2" w:rsidP="00F950B2"/>
        </w:tc>
        <w:tc>
          <w:tcPr>
            <w:tcW w:w="1731" w:type="dxa"/>
          </w:tcPr>
          <w:p w14:paraId="44D18BE4" w14:textId="77777777" w:rsidR="00F950B2" w:rsidRDefault="00F950B2" w:rsidP="00F950B2"/>
        </w:tc>
        <w:tc>
          <w:tcPr>
            <w:tcW w:w="2734" w:type="dxa"/>
          </w:tcPr>
          <w:p w14:paraId="35F0732F" w14:textId="77777777" w:rsidR="00F950B2" w:rsidRDefault="00F950B2" w:rsidP="00F950B2"/>
        </w:tc>
        <w:tc>
          <w:tcPr>
            <w:tcW w:w="4198" w:type="dxa"/>
          </w:tcPr>
          <w:p w14:paraId="647FA53E" w14:textId="77777777" w:rsidR="00F950B2" w:rsidRDefault="00F950B2" w:rsidP="00F950B2"/>
        </w:tc>
        <w:tc>
          <w:tcPr>
            <w:tcW w:w="4284" w:type="dxa"/>
          </w:tcPr>
          <w:p w14:paraId="0FF32D31" w14:textId="77777777" w:rsidR="00F950B2" w:rsidRDefault="00F950B2" w:rsidP="00F950B2"/>
        </w:tc>
      </w:tr>
      <w:tr w:rsidR="00F950B2" w14:paraId="041245F4" w14:textId="77777777" w:rsidTr="005E24F2">
        <w:tc>
          <w:tcPr>
            <w:tcW w:w="1543" w:type="dxa"/>
          </w:tcPr>
          <w:p w14:paraId="0F508521" w14:textId="77777777" w:rsidR="00F950B2" w:rsidRDefault="00F950B2" w:rsidP="00F950B2"/>
        </w:tc>
        <w:tc>
          <w:tcPr>
            <w:tcW w:w="1731" w:type="dxa"/>
          </w:tcPr>
          <w:p w14:paraId="1F0FEEF9" w14:textId="77777777" w:rsidR="00F950B2" w:rsidRDefault="00F950B2" w:rsidP="00F950B2"/>
        </w:tc>
        <w:tc>
          <w:tcPr>
            <w:tcW w:w="2734" w:type="dxa"/>
          </w:tcPr>
          <w:p w14:paraId="414F91D6" w14:textId="77777777" w:rsidR="00F950B2" w:rsidRDefault="00F950B2" w:rsidP="00F950B2"/>
        </w:tc>
        <w:tc>
          <w:tcPr>
            <w:tcW w:w="4198" w:type="dxa"/>
          </w:tcPr>
          <w:p w14:paraId="249A8E3E" w14:textId="77777777" w:rsidR="00F950B2" w:rsidRDefault="00F950B2" w:rsidP="00F950B2"/>
        </w:tc>
        <w:tc>
          <w:tcPr>
            <w:tcW w:w="4284" w:type="dxa"/>
          </w:tcPr>
          <w:p w14:paraId="584FAFA6" w14:textId="77777777" w:rsidR="00F950B2" w:rsidRDefault="00F950B2" w:rsidP="00F950B2"/>
        </w:tc>
      </w:tr>
      <w:tr w:rsidR="00F950B2" w14:paraId="58BB9208" w14:textId="77777777" w:rsidTr="005E24F2">
        <w:tc>
          <w:tcPr>
            <w:tcW w:w="1543" w:type="dxa"/>
          </w:tcPr>
          <w:p w14:paraId="4C126287" w14:textId="77777777" w:rsidR="00F950B2" w:rsidRDefault="00F950B2" w:rsidP="00F950B2"/>
        </w:tc>
        <w:tc>
          <w:tcPr>
            <w:tcW w:w="1731" w:type="dxa"/>
          </w:tcPr>
          <w:p w14:paraId="785ABA6B" w14:textId="77777777" w:rsidR="00F950B2" w:rsidRDefault="00F950B2" w:rsidP="00F950B2"/>
        </w:tc>
        <w:tc>
          <w:tcPr>
            <w:tcW w:w="2734" w:type="dxa"/>
          </w:tcPr>
          <w:p w14:paraId="4BAE91DB" w14:textId="77777777" w:rsidR="00F950B2" w:rsidRDefault="00F950B2" w:rsidP="00F950B2"/>
        </w:tc>
        <w:tc>
          <w:tcPr>
            <w:tcW w:w="4198" w:type="dxa"/>
          </w:tcPr>
          <w:p w14:paraId="031E697C" w14:textId="77777777" w:rsidR="00F950B2" w:rsidRDefault="00F950B2" w:rsidP="00F950B2"/>
        </w:tc>
        <w:tc>
          <w:tcPr>
            <w:tcW w:w="4284" w:type="dxa"/>
          </w:tcPr>
          <w:p w14:paraId="40C1753E" w14:textId="77777777" w:rsidR="00F950B2" w:rsidRDefault="00F950B2" w:rsidP="00F950B2"/>
        </w:tc>
      </w:tr>
      <w:tr w:rsidR="00F950B2" w14:paraId="198B52C2" w14:textId="77777777" w:rsidTr="005E24F2">
        <w:tc>
          <w:tcPr>
            <w:tcW w:w="1543" w:type="dxa"/>
          </w:tcPr>
          <w:p w14:paraId="2EDE2AD4" w14:textId="77777777" w:rsidR="00F950B2" w:rsidRDefault="00F950B2" w:rsidP="00F950B2"/>
        </w:tc>
        <w:tc>
          <w:tcPr>
            <w:tcW w:w="1731" w:type="dxa"/>
          </w:tcPr>
          <w:p w14:paraId="1C1DCC67" w14:textId="77777777" w:rsidR="00F950B2" w:rsidRDefault="00F950B2" w:rsidP="00F950B2"/>
        </w:tc>
        <w:tc>
          <w:tcPr>
            <w:tcW w:w="2734" w:type="dxa"/>
          </w:tcPr>
          <w:p w14:paraId="3E374689" w14:textId="77777777" w:rsidR="00F950B2" w:rsidRDefault="00F950B2" w:rsidP="00F950B2"/>
        </w:tc>
        <w:tc>
          <w:tcPr>
            <w:tcW w:w="4198" w:type="dxa"/>
          </w:tcPr>
          <w:p w14:paraId="6999DBAB" w14:textId="77777777" w:rsidR="00F950B2" w:rsidRDefault="00F950B2" w:rsidP="00F950B2"/>
        </w:tc>
        <w:tc>
          <w:tcPr>
            <w:tcW w:w="4284" w:type="dxa"/>
          </w:tcPr>
          <w:p w14:paraId="4E8D3086" w14:textId="77777777" w:rsidR="00F950B2" w:rsidRDefault="00F950B2" w:rsidP="00F950B2"/>
        </w:tc>
      </w:tr>
      <w:tr w:rsidR="00F950B2" w14:paraId="029A7AFD" w14:textId="77777777" w:rsidTr="005E24F2">
        <w:tc>
          <w:tcPr>
            <w:tcW w:w="1543" w:type="dxa"/>
          </w:tcPr>
          <w:p w14:paraId="10F29A4C" w14:textId="77777777" w:rsidR="00F950B2" w:rsidRDefault="00F950B2" w:rsidP="00F950B2"/>
        </w:tc>
        <w:tc>
          <w:tcPr>
            <w:tcW w:w="1731" w:type="dxa"/>
          </w:tcPr>
          <w:p w14:paraId="46160377" w14:textId="77777777" w:rsidR="00F950B2" w:rsidRDefault="00F950B2" w:rsidP="00F950B2"/>
        </w:tc>
        <w:tc>
          <w:tcPr>
            <w:tcW w:w="2734" w:type="dxa"/>
          </w:tcPr>
          <w:p w14:paraId="558FCC5D" w14:textId="77777777" w:rsidR="00F950B2" w:rsidRDefault="00F950B2" w:rsidP="00F950B2"/>
        </w:tc>
        <w:tc>
          <w:tcPr>
            <w:tcW w:w="4198" w:type="dxa"/>
          </w:tcPr>
          <w:p w14:paraId="089FE75A" w14:textId="77777777" w:rsidR="00F950B2" w:rsidRDefault="00F950B2" w:rsidP="00F950B2"/>
        </w:tc>
        <w:tc>
          <w:tcPr>
            <w:tcW w:w="4284" w:type="dxa"/>
          </w:tcPr>
          <w:p w14:paraId="797B19D2" w14:textId="77777777" w:rsidR="00F950B2" w:rsidRDefault="00F950B2" w:rsidP="00F950B2"/>
        </w:tc>
      </w:tr>
      <w:tr w:rsidR="00F950B2" w14:paraId="212251DB" w14:textId="77777777" w:rsidTr="005E24F2">
        <w:tc>
          <w:tcPr>
            <w:tcW w:w="1543" w:type="dxa"/>
          </w:tcPr>
          <w:p w14:paraId="7B6CEC63" w14:textId="77777777" w:rsidR="00F950B2" w:rsidRDefault="00F950B2" w:rsidP="00F950B2"/>
        </w:tc>
        <w:tc>
          <w:tcPr>
            <w:tcW w:w="1731" w:type="dxa"/>
          </w:tcPr>
          <w:p w14:paraId="1CB57FD1" w14:textId="77777777" w:rsidR="00F950B2" w:rsidRDefault="00F950B2" w:rsidP="00F950B2"/>
        </w:tc>
        <w:tc>
          <w:tcPr>
            <w:tcW w:w="2734" w:type="dxa"/>
          </w:tcPr>
          <w:p w14:paraId="79F5240D" w14:textId="77777777" w:rsidR="00F950B2" w:rsidRDefault="00F950B2" w:rsidP="00F950B2"/>
        </w:tc>
        <w:tc>
          <w:tcPr>
            <w:tcW w:w="4198" w:type="dxa"/>
          </w:tcPr>
          <w:p w14:paraId="4C751097" w14:textId="77777777" w:rsidR="00F950B2" w:rsidRDefault="00F950B2" w:rsidP="00F950B2"/>
        </w:tc>
        <w:tc>
          <w:tcPr>
            <w:tcW w:w="4284" w:type="dxa"/>
          </w:tcPr>
          <w:p w14:paraId="420A5316" w14:textId="77777777" w:rsidR="00F950B2" w:rsidRDefault="00F950B2" w:rsidP="00F950B2"/>
        </w:tc>
      </w:tr>
      <w:tr w:rsidR="00F950B2" w14:paraId="23B6A323" w14:textId="77777777" w:rsidTr="005E24F2">
        <w:tc>
          <w:tcPr>
            <w:tcW w:w="1543" w:type="dxa"/>
          </w:tcPr>
          <w:p w14:paraId="3CAAF063" w14:textId="77777777" w:rsidR="00F950B2" w:rsidRDefault="00F950B2" w:rsidP="00F950B2"/>
        </w:tc>
        <w:tc>
          <w:tcPr>
            <w:tcW w:w="1731" w:type="dxa"/>
          </w:tcPr>
          <w:p w14:paraId="04D4D7CA" w14:textId="77777777" w:rsidR="00F950B2" w:rsidRDefault="00F950B2" w:rsidP="00F950B2"/>
        </w:tc>
        <w:tc>
          <w:tcPr>
            <w:tcW w:w="2734" w:type="dxa"/>
          </w:tcPr>
          <w:p w14:paraId="74672158" w14:textId="77777777" w:rsidR="00F950B2" w:rsidRDefault="00F950B2" w:rsidP="00F950B2"/>
        </w:tc>
        <w:tc>
          <w:tcPr>
            <w:tcW w:w="4198" w:type="dxa"/>
          </w:tcPr>
          <w:p w14:paraId="33771951" w14:textId="77777777" w:rsidR="00F950B2" w:rsidRDefault="00F950B2" w:rsidP="00F950B2"/>
        </w:tc>
        <w:tc>
          <w:tcPr>
            <w:tcW w:w="4284" w:type="dxa"/>
          </w:tcPr>
          <w:p w14:paraId="7B130513" w14:textId="77777777" w:rsidR="00F950B2" w:rsidRDefault="00F950B2" w:rsidP="00F950B2"/>
        </w:tc>
      </w:tr>
      <w:tr w:rsidR="00F950B2" w14:paraId="51294C54" w14:textId="77777777" w:rsidTr="005E24F2">
        <w:tc>
          <w:tcPr>
            <w:tcW w:w="1543" w:type="dxa"/>
          </w:tcPr>
          <w:p w14:paraId="309D4BA9" w14:textId="77777777" w:rsidR="00F950B2" w:rsidRDefault="00F950B2" w:rsidP="00F950B2"/>
        </w:tc>
        <w:tc>
          <w:tcPr>
            <w:tcW w:w="1731" w:type="dxa"/>
          </w:tcPr>
          <w:p w14:paraId="1D6C52FC" w14:textId="77777777" w:rsidR="00F950B2" w:rsidRDefault="00F950B2" w:rsidP="00F950B2"/>
        </w:tc>
        <w:tc>
          <w:tcPr>
            <w:tcW w:w="2734" w:type="dxa"/>
          </w:tcPr>
          <w:p w14:paraId="5FB8570D" w14:textId="77777777" w:rsidR="00F950B2" w:rsidRDefault="00F950B2" w:rsidP="00F950B2"/>
        </w:tc>
        <w:tc>
          <w:tcPr>
            <w:tcW w:w="4198" w:type="dxa"/>
          </w:tcPr>
          <w:p w14:paraId="3DF06ED5" w14:textId="77777777" w:rsidR="00F950B2" w:rsidRDefault="00F950B2" w:rsidP="00F950B2"/>
        </w:tc>
        <w:tc>
          <w:tcPr>
            <w:tcW w:w="4284" w:type="dxa"/>
          </w:tcPr>
          <w:p w14:paraId="4BD8A470" w14:textId="77777777" w:rsidR="00F950B2" w:rsidRDefault="00F950B2" w:rsidP="00F950B2"/>
        </w:tc>
      </w:tr>
      <w:tr w:rsidR="00F950B2" w14:paraId="65E07860" w14:textId="77777777" w:rsidTr="005E24F2">
        <w:tc>
          <w:tcPr>
            <w:tcW w:w="1543" w:type="dxa"/>
          </w:tcPr>
          <w:p w14:paraId="38622515" w14:textId="77777777" w:rsidR="00F950B2" w:rsidRDefault="00F950B2" w:rsidP="00F950B2"/>
        </w:tc>
        <w:tc>
          <w:tcPr>
            <w:tcW w:w="1731" w:type="dxa"/>
          </w:tcPr>
          <w:p w14:paraId="2835660E" w14:textId="77777777" w:rsidR="00F950B2" w:rsidRDefault="00F950B2" w:rsidP="00F950B2"/>
        </w:tc>
        <w:tc>
          <w:tcPr>
            <w:tcW w:w="2734" w:type="dxa"/>
          </w:tcPr>
          <w:p w14:paraId="2398EF3E" w14:textId="77777777" w:rsidR="00F950B2" w:rsidRDefault="00F950B2" w:rsidP="00F950B2"/>
        </w:tc>
        <w:tc>
          <w:tcPr>
            <w:tcW w:w="4198" w:type="dxa"/>
          </w:tcPr>
          <w:p w14:paraId="3D1EF44A" w14:textId="77777777" w:rsidR="00F950B2" w:rsidRDefault="00F950B2" w:rsidP="00F950B2"/>
        </w:tc>
        <w:tc>
          <w:tcPr>
            <w:tcW w:w="4284" w:type="dxa"/>
          </w:tcPr>
          <w:p w14:paraId="678EA1C2" w14:textId="77777777" w:rsidR="00F950B2" w:rsidRDefault="00F950B2" w:rsidP="00F950B2"/>
        </w:tc>
      </w:tr>
    </w:tbl>
    <w:p w14:paraId="6F76E01A" w14:textId="77777777" w:rsidR="007B1CAF" w:rsidRPr="00F47624" w:rsidRDefault="007B1CAF" w:rsidP="009A175B">
      <w:pPr>
        <w:pStyle w:val="Date"/>
        <w:spacing w:after="120" w:line="260" w:lineRule="atLeast"/>
        <w:ind w:left="720"/>
        <w:jc w:val="left"/>
        <w:rPr>
          <w:rFonts w:asciiTheme="minorHAnsi" w:hAnsiTheme="minorHAnsi"/>
          <w:sz w:val="22"/>
          <w:szCs w:val="22"/>
        </w:rPr>
      </w:pPr>
    </w:p>
    <w:sectPr w:rsidR="007B1CAF" w:rsidRPr="00F47624" w:rsidSect="00154AE3">
      <w:headerReference w:type="default" r:id="rId8"/>
      <w:headerReference w:type="first" r:id="rId9"/>
      <w:footerReference w:type="first" r:id="rId10"/>
      <w:pgSz w:w="15840" w:h="12240" w:orient="landscape" w:code="1"/>
      <w:pgMar w:top="1152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CC859" w14:textId="77777777" w:rsidR="00E86109" w:rsidRDefault="00E86109">
      <w:r>
        <w:separator/>
      </w:r>
    </w:p>
  </w:endnote>
  <w:endnote w:type="continuationSeparator" w:id="0">
    <w:p w14:paraId="1BC874BE" w14:textId="77777777" w:rsidR="00E86109" w:rsidRDefault="00E8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B8156" w14:textId="77777777" w:rsidR="009A175B" w:rsidRPr="008D074F" w:rsidRDefault="009A175B" w:rsidP="008D074F">
    <w:pPr>
      <w:pStyle w:val="Footer"/>
      <w:jc w:val="center"/>
      <w:rPr>
        <w:sz w:val="18"/>
      </w:rPr>
    </w:pPr>
    <w:r w:rsidRPr="008D074F">
      <w:rPr>
        <w:sz w:val="18"/>
      </w:rPr>
      <w:t>ISO-NE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47278" w14:textId="77777777" w:rsidR="00E86109" w:rsidRDefault="00E86109">
      <w:r>
        <w:separator/>
      </w:r>
    </w:p>
  </w:footnote>
  <w:footnote w:type="continuationSeparator" w:id="0">
    <w:p w14:paraId="662D0958" w14:textId="77777777" w:rsidR="00E86109" w:rsidRDefault="00E86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7D2F" w14:textId="77777777" w:rsidR="009A175B" w:rsidRDefault="009A175B" w:rsidP="00F40BEF">
    <w:pPr>
      <w:pStyle w:val="Header"/>
      <w:spacing w:line="240" w:lineRule="atLeast"/>
      <w:jc w:val="left"/>
      <w:rPr>
        <w:rStyle w:val="PageNumber"/>
        <w:rFonts w:ascii="Calibri" w:hAnsi="Calibri"/>
        <w:color w:val="62777F"/>
        <w:szCs w:val="18"/>
      </w:rPr>
    </w:pPr>
  </w:p>
  <w:p w14:paraId="371D4BAB" w14:textId="77777777" w:rsidR="009A175B" w:rsidRPr="006275DE" w:rsidRDefault="009A175B" w:rsidP="00F40BEF">
    <w:pPr>
      <w:pStyle w:val="Header"/>
      <w:spacing w:line="240" w:lineRule="atLeast"/>
      <w:jc w:val="left"/>
      <w:rPr>
        <w:rStyle w:val="PageNumber"/>
        <w:rFonts w:ascii="Calibri" w:hAnsi="Calibri"/>
        <w:color w:val="3A4B54"/>
        <w:sz w:val="18"/>
        <w:szCs w:val="18"/>
      </w:rPr>
    </w:pPr>
  </w:p>
  <w:p w14:paraId="79EC9F8E" w14:textId="77777777" w:rsidR="009A175B" w:rsidRPr="006275DE" w:rsidRDefault="009A175B" w:rsidP="00F40BEF">
    <w:pPr>
      <w:pStyle w:val="Header"/>
      <w:spacing w:line="240" w:lineRule="atLeast"/>
      <w:jc w:val="left"/>
      <w:rPr>
        <w:rFonts w:ascii="Calibri" w:hAnsi="Calibri"/>
        <w:color w:val="3A4B54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B2B2A" w14:textId="77777777" w:rsidR="009A175B" w:rsidRDefault="009A175B">
    <w:pPr>
      <w:pStyle w:val="Header"/>
      <w:jc w:val="right"/>
      <w:rPr>
        <w:b/>
        <w:bCs/>
        <w:color w:val="11479D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5FA8"/>
    <w:multiLevelType w:val="hybridMultilevel"/>
    <w:tmpl w:val="1C4CEAA6"/>
    <w:lvl w:ilvl="0" w:tplc="99FCD69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A2D54"/>
    <w:multiLevelType w:val="hybridMultilevel"/>
    <w:tmpl w:val="AF282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3882239"/>
    <w:multiLevelType w:val="hybridMultilevel"/>
    <w:tmpl w:val="3A285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80B63"/>
    <w:multiLevelType w:val="hybridMultilevel"/>
    <w:tmpl w:val="304C3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E5EB0"/>
    <w:multiLevelType w:val="hybridMultilevel"/>
    <w:tmpl w:val="8F2865C8"/>
    <w:lvl w:ilvl="0" w:tplc="34AE7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60C318">
      <w:start w:val="153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D82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DC6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4011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E3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89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7CA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627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7BD2479"/>
    <w:multiLevelType w:val="hybridMultilevel"/>
    <w:tmpl w:val="88EC7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D4D"/>
    <w:rsid w:val="00000C64"/>
    <w:rsid w:val="00000CF2"/>
    <w:rsid w:val="0000618C"/>
    <w:rsid w:val="000064EB"/>
    <w:rsid w:val="00010535"/>
    <w:rsid w:val="0001294B"/>
    <w:rsid w:val="00015C68"/>
    <w:rsid w:val="00022016"/>
    <w:rsid w:val="00041914"/>
    <w:rsid w:val="00050A2F"/>
    <w:rsid w:val="00055081"/>
    <w:rsid w:val="00057CDA"/>
    <w:rsid w:val="00057F47"/>
    <w:rsid w:val="00066E4D"/>
    <w:rsid w:val="00076F9B"/>
    <w:rsid w:val="000A1B71"/>
    <w:rsid w:val="000B7847"/>
    <w:rsid w:val="000C1F94"/>
    <w:rsid w:val="000D2072"/>
    <w:rsid w:val="000E0EDB"/>
    <w:rsid w:val="000F4D86"/>
    <w:rsid w:val="000F7141"/>
    <w:rsid w:val="001004C5"/>
    <w:rsid w:val="00101EE3"/>
    <w:rsid w:val="00115BB0"/>
    <w:rsid w:val="00115FD1"/>
    <w:rsid w:val="00116C23"/>
    <w:rsid w:val="00134AB8"/>
    <w:rsid w:val="0013605B"/>
    <w:rsid w:val="00140FA4"/>
    <w:rsid w:val="00151125"/>
    <w:rsid w:val="00161328"/>
    <w:rsid w:val="001619C7"/>
    <w:rsid w:val="001705C0"/>
    <w:rsid w:val="00172200"/>
    <w:rsid w:val="00175AE9"/>
    <w:rsid w:val="00175BCB"/>
    <w:rsid w:val="00176964"/>
    <w:rsid w:val="0019133A"/>
    <w:rsid w:val="001952D0"/>
    <w:rsid w:val="001D360E"/>
    <w:rsid w:val="001E4036"/>
    <w:rsid w:val="001F17BC"/>
    <w:rsid w:val="001F7514"/>
    <w:rsid w:val="002028D1"/>
    <w:rsid w:val="00202924"/>
    <w:rsid w:val="00203BF7"/>
    <w:rsid w:val="00215519"/>
    <w:rsid w:val="0024366A"/>
    <w:rsid w:val="00243D2A"/>
    <w:rsid w:val="00253DE8"/>
    <w:rsid w:val="002566A1"/>
    <w:rsid w:val="00280508"/>
    <w:rsid w:val="00281221"/>
    <w:rsid w:val="00282B73"/>
    <w:rsid w:val="002952A2"/>
    <w:rsid w:val="002975F9"/>
    <w:rsid w:val="00297AF4"/>
    <w:rsid w:val="002A212C"/>
    <w:rsid w:val="002A68D4"/>
    <w:rsid w:val="002A719C"/>
    <w:rsid w:val="002A74E4"/>
    <w:rsid w:val="002B09D8"/>
    <w:rsid w:val="002C1DED"/>
    <w:rsid w:val="002D2010"/>
    <w:rsid w:val="002D6E3B"/>
    <w:rsid w:val="002E1E5F"/>
    <w:rsid w:val="002E2B1A"/>
    <w:rsid w:val="002F0E5F"/>
    <w:rsid w:val="002F10BC"/>
    <w:rsid w:val="00303F67"/>
    <w:rsid w:val="00307063"/>
    <w:rsid w:val="003135E6"/>
    <w:rsid w:val="00325517"/>
    <w:rsid w:val="00341570"/>
    <w:rsid w:val="0034344E"/>
    <w:rsid w:val="003608D6"/>
    <w:rsid w:val="0036658D"/>
    <w:rsid w:val="00367A2D"/>
    <w:rsid w:val="00372162"/>
    <w:rsid w:val="003812CB"/>
    <w:rsid w:val="00394747"/>
    <w:rsid w:val="003948A1"/>
    <w:rsid w:val="00395443"/>
    <w:rsid w:val="00396CA7"/>
    <w:rsid w:val="003A4B32"/>
    <w:rsid w:val="003B6FF3"/>
    <w:rsid w:val="003C47BB"/>
    <w:rsid w:val="003C651E"/>
    <w:rsid w:val="003C6ADF"/>
    <w:rsid w:val="003D171B"/>
    <w:rsid w:val="003E725C"/>
    <w:rsid w:val="004002E3"/>
    <w:rsid w:val="0040580F"/>
    <w:rsid w:val="00405B98"/>
    <w:rsid w:val="0040673B"/>
    <w:rsid w:val="004338ED"/>
    <w:rsid w:val="004348BD"/>
    <w:rsid w:val="00435287"/>
    <w:rsid w:val="00436009"/>
    <w:rsid w:val="00455BF5"/>
    <w:rsid w:val="0046722A"/>
    <w:rsid w:val="004730A6"/>
    <w:rsid w:val="004820E3"/>
    <w:rsid w:val="00495DBB"/>
    <w:rsid w:val="004A7925"/>
    <w:rsid w:val="004A7F2D"/>
    <w:rsid w:val="004B6A58"/>
    <w:rsid w:val="004C2665"/>
    <w:rsid w:val="004C4CE7"/>
    <w:rsid w:val="004D29FD"/>
    <w:rsid w:val="004D3C0A"/>
    <w:rsid w:val="004D6223"/>
    <w:rsid w:val="004E11C2"/>
    <w:rsid w:val="00500499"/>
    <w:rsid w:val="00514D07"/>
    <w:rsid w:val="005233D2"/>
    <w:rsid w:val="00527723"/>
    <w:rsid w:val="00547C1C"/>
    <w:rsid w:val="0055329F"/>
    <w:rsid w:val="005755EF"/>
    <w:rsid w:val="005A0DEC"/>
    <w:rsid w:val="005A70CA"/>
    <w:rsid w:val="005B31CD"/>
    <w:rsid w:val="005C0638"/>
    <w:rsid w:val="005C2709"/>
    <w:rsid w:val="005C593C"/>
    <w:rsid w:val="005D1B68"/>
    <w:rsid w:val="005D768B"/>
    <w:rsid w:val="005E026E"/>
    <w:rsid w:val="005E24F2"/>
    <w:rsid w:val="005E40D2"/>
    <w:rsid w:val="005E6329"/>
    <w:rsid w:val="005F0C23"/>
    <w:rsid w:val="005F1797"/>
    <w:rsid w:val="005F7CC3"/>
    <w:rsid w:val="00603165"/>
    <w:rsid w:val="006047EA"/>
    <w:rsid w:val="00606461"/>
    <w:rsid w:val="00607BC3"/>
    <w:rsid w:val="006275DE"/>
    <w:rsid w:val="00644002"/>
    <w:rsid w:val="00644737"/>
    <w:rsid w:val="0065780F"/>
    <w:rsid w:val="0067259F"/>
    <w:rsid w:val="00672B09"/>
    <w:rsid w:val="006914A0"/>
    <w:rsid w:val="006934C7"/>
    <w:rsid w:val="006B073F"/>
    <w:rsid w:val="006B18BC"/>
    <w:rsid w:val="006C5FC2"/>
    <w:rsid w:val="006D0ACE"/>
    <w:rsid w:val="006D0DC6"/>
    <w:rsid w:val="006D1926"/>
    <w:rsid w:val="006E51B4"/>
    <w:rsid w:val="006E7742"/>
    <w:rsid w:val="00717446"/>
    <w:rsid w:val="007227F6"/>
    <w:rsid w:val="00723704"/>
    <w:rsid w:val="00724A9C"/>
    <w:rsid w:val="007278BF"/>
    <w:rsid w:val="007303BD"/>
    <w:rsid w:val="00732D07"/>
    <w:rsid w:val="00736158"/>
    <w:rsid w:val="0073633F"/>
    <w:rsid w:val="007526C7"/>
    <w:rsid w:val="00757F86"/>
    <w:rsid w:val="007639E2"/>
    <w:rsid w:val="00767947"/>
    <w:rsid w:val="00781138"/>
    <w:rsid w:val="007943D1"/>
    <w:rsid w:val="00794F57"/>
    <w:rsid w:val="007A3EB5"/>
    <w:rsid w:val="007B1CAF"/>
    <w:rsid w:val="007C0FE4"/>
    <w:rsid w:val="007C72DB"/>
    <w:rsid w:val="007E4803"/>
    <w:rsid w:val="007E5525"/>
    <w:rsid w:val="007F4BED"/>
    <w:rsid w:val="007F5EA0"/>
    <w:rsid w:val="008006B7"/>
    <w:rsid w:val="00801B30"/>
    <w:rsid w:val="00807679"/>
    <w:rsid w:val="008108B6"/>
    <w:rsid w:val="00811DD4"/>
    <w:rsid w:val="008138DE"/>
    <w:rsid w:val="00817DEE"/>
    <w:rsid w:val="00822D6D"/>
    <w:rsid w:val="00826292"/>
    <w:rsid w:val="00833DEA"/>
    <w:rsid w:val="00835E93"/>
    <w:rsid w:val="00836532"/>
    <w:rsid w:val="00840EB5"/>
    <w:rsid w:val="00843ECA"/>
    <w:rsid w:val="00845386"/>
    <w:rsid w:val="00863013"/>
    <w:rsid w:val="00864285"/>
    <w:rsid w:val="00870D7F"/>
    <w:rsid w:val="00872CB9"/>
    <w:rsid w:val="00874189"/>
    <w:rsid w:val="00890CBF"/>
    <w:rsid w:val="0089571D"/>
    <w:rsid w:val="00895FE4"/>
    <w:rsid w:val="008A2791"/>
    <w:rsid w:val="008A5C73"/>
    <w:rsid w:val="008A67EA"/>
    <w:rsid w:val="008A6F4C"/>
    <w:rsid w:val="008A7365"/>
    <w:rsid w:val="008B4CAC"/>
    <w:rsid w:val="008C5014"/>
    <w:rsid w:val="008C6B80"/>
    <w:rsid w:val="008C7DE2"/>
    <w:rsid w:val="008D0296"/>
    <w:rsid w:val="008D3B62"/>
    <w:rsid w:val="008E1860"/>
    <w:rsid w:val="008F3DF4"/>
    <w:rsid w:val="008F531C"/>
    <w:rsid w:val="009067FC"/>
    <w:rsid w:val="00910CDC"/>
    <w:rsid w:val="00912160"/>
    <w:rsid w:val="009125B0"/>
    <w:rsid w:val="00915E39"/>
    <w:rsid w:val="00920EC6"/>
    <w:rsid w:val="009405CD"/>
    <w:rsid w:val="00940F30"/>
    <w:rsid w:val="00942F8F"/>
    <w:rsid w:val="00942FC0"/>
    <w:rsid w:val="00946BEB"/>
    <w:rsid w:val="00955BBE"/>
    <w:rsid w:val="0097547E"/>
    <w:rsid w:val="00975E03"/>
    <w:rsid w:val="00975E1D"/>
    <w:rsid w:val="00980C9B"/>
    <w:rsid w:val="009928EC"/>
    <w:rsid w:val="0099301B"/>
    <w:rsid w:val="009A175B"/>
    <w:rsid w:val="009A382C"/>
    <w:rsid w:val="009B2D85"/>
    <w:rsid w:val="009B5A67"/>
    <w:rsid w:val="009C37F9"/>
    <w:rsid w:val="009C7428"/>
    <w:rsid w:val="009D068E"/>
    <w:rsid w:val="009D3E02"/>
    <w:rsid w:val="009E16E0"/>
    <w:rsid w:val="009E1B8C"/>
    <w:rsid w:val="009E3723"/>
    <w:rsid w:val="009E7128"/>
    <w:rsid w:val="00A110FA"/>
    <w:rsid w:val="00A12CCB"/>
    <w:rsid w:val="00A143FB"/>
    <w:rsid w:val="00A1465C"/>
    <w:rsid w:val="00A24C6C"/>
    <w:rsid w:val="00A302D7"/>
    <w:rsid w:val="00A306FF"/>
    <w:rsid w:val="00A33BAF"/>
    <w:rsid w:val="00A433FB"/>
    <w:rsid w:val="00A54CD6"/>
    <w:rsid w:val="00A651F3"/>
    <w:rsid w:val="00A70529"/>
    <w:rsid w:val="00A7057F"/>
    <w:rsid w:val="00A878B7"/>
    <w:rsid w:val="00A95617"/>
    <w:rsid w:val="00AA04B0"/>
    <w:rsid w:val="00AA1620"/>
    <w:rsid w:val="00AA569A"/>
    <w:rsid w:val="00AC502B"/>
    <w:rsid w:val="00AC5B23"/>
    <w:rsid w:val="00AC670B"/>
    <w:rsid w:val="00AD0A56"/>
    <w:rsid w:val="00AD5E26"/>
    <w:rsid w:val="00AE2621"/>
    <w:rsid w:val="00AE3765"/>
    <w:rsid w:val="00AE47C8"/>
    <w:rsid w:val="00AE5C7B"/>
    <w:rsid w:val="00AE6C25"/>
    <w:rsid w:val="00AE7249"/>
    <w:rsid w:val="00AF0A19"/>
    <w:rsid w:val="00AF16CD"/>
    <w:rsid w:val="00AF65BA"/>
    <w:rsid w:val="00B0728C"/>
    <w:rsid w:val="00B07800"/>
    <w:rsid w:val="00B126AD"/>
    <w:rsid w:val="00B12EB5"/>
    <w:rsid w:val="00B1466D"/>
    <w:rsid w:val="00B1693D"/>
    <w:rsid w:val="00B23363"/>
    <w:rsid w:val="00B3425D"/>
    <w:rsid w:val="00B34C1C"/>
    <w:rsid w:val="00B36C3F"/>
    <w:rsid w:val="00B37CF3"/>
    <w:rsid w:val="00B4507B"/>
    <w:rsid w:val="00B547BA"/>
    <w:rsid w:val="00B7020B"/>
    <w:rsid w:val="00B75922"/>
    <w:rsid w:val="00B8238F"/>
    <w:rsid w:val="00B863C4"/>
    <w:rsid w:val="00B90C9A"/>
    <w:rsid w:val="00BA4E3B"/>
    <w:rsid w:val="00BA5AE3"/>
    <w:rsid w:val="00BA5E67"/>
    <w:rsid w:val="00BB4458"/>
    <w:rsid w:val="00BD15F1"/>
    <w:rsid w:val="00BD27CF"/>
    <w:rsid w:val="00BD58D0"/>
    <w:rsid w:val="00BE2179"/>
    <w:rsid w:val="00BF5A3E"/>
    <w:rsid w:val="00C01ED5"/>
    <w:rsid w:val="00C06B5A"/>
    <w:rsid w:val="00C14FD5"/>
    <w:rsid w:val="00C355AB"/>
    <w:rsid w:val="00C36498"/>
    <w:rsid w:val="00C5035A"/>
    <w:rsid w:val="00C564C7"/>
    <w:rsid w:val="00C56DAC"/>
    <w:rsid w:val="00C57469"/>
    <w:rsid w:val="00C709DC"/>
    <w:rsid w:val="00C73A75"/>
    <w:rsid w:val="00C92DCF"/>
    <w:rsid w:val="00CA238C"/>
    <w:rsid w:val="00CA2DD6"/>
    <w:rsid w:val="00CA3D61"/>
    <w:rsid w:val="00CB5399"/>
    <w:rsid w:val="00CC395C"/>
    <w:rsid w:val="00CD1EF7"/>
    <w:rsid w:val="00CF6B94"/>
    <w:rsid w:val="00D03F91"/>
    <w:rsid w:val="00D069C0"/>
    <w:rsid w:val="00D13286"/>
    <w:rsid w:val="00D216FA"/>
    <w:rsid w:val="00D21DAC"/>
    <w:rsid w:val="00D36E21"/>
    <w:rsid w:val="00D44FDF"/>
    <w:rsid w:val="00D53CE2"/>
    <w:rsid w:val="00D84952"/>
    <w:rsid w:val="00D95BC3"/>
    <w:rsid w:val="00DA0E39"/>
    <w:rsid w:val="00DA7D4D"/>
    <w:rsid w:val="00DB1090"/>
    <w:rsid w:val="00DC4B14"/>
    <w:rsid w:val="00DD4F6D"/>
    <w:rsid w:val="00DE3DB4"/>
    <w:rsid w:val="00E0031E"/>
    <w:rsid w:val="00E03B09"/>
    <w:rsid w:val="00E1405D"/>
    <w:rsid w:val="00E1589D"/>
    <w:rsid w:val="00E1656E"/>
    <w:rsid w:val="00E33005"/>
    <w:rsid w:val="00E34064"/>
    <w:rsid w:val="00E371EC"/>
    <w:rsid w:val="00E410A7"/>
    <w:rsid w:val="00E55343"/>
    <w:rsid w:val="00E64624"/>
    <w:rsid w:val="00E667B3"/>
    <w:rsid w:val="00E83426"/>
    <w:rsid w:val="00E84FE2"/>
    <w:rsid w:val="00E86109"/>
    <w:rsid w:val="00E908A0"/>
    <w:rsid w:val="00E913D4"/>
    <w:rsid w:val="00E9730E"/>
    <w:rsid w:val="00EB09BF"/>
    <w:rsid w:val="00EB2267"/>
    <w:rsid w:val="00EB58CD"/>
    <w:rsid w:val="00EC11FA"/>
    <w:rsid w:val="00EC1F81"/>
    <w:rsid w:val="00EC27D3"/>
    <w:rsid w:val="00EC33B2"/>
    <w:rsid w:val="00EC62F5"/>
    <w:rsid w:val="00EC6CB9"/>
    <w:rsid w:val="00EC7273"/>
    <w:rsid w:val="00ED1071"/>
    <w:rsid w:val="00ED1751"/>
    <w:rsid w:val="00EF0227"/>
    <w:rsid w:val="00EF2EC3"/>
    <w:rsid w:val="00EF33E2"/>
    <w:rsid w:val="00EF55C8"/>
    <w:rsid w:val="00F015AC"/>
    <w:rsid w:val="00F16A3A"/>
    <w:rsid w:val="00F40072"/>
    <w:rsid w:val="00F409DB"/>
    <w:rsid w:val="00F40BEF"/>
    <w:rsid w:val="00F4330A"/>
    <w:rsid w:val="00F46FCF"/>
    <w:rsid w:val="00F47624"/>
    <w:rsid w:val="00F54700"/>
    <w:rsid w:val="00F54D2E"/>
    <w:rsid w:val="00F702F7"/>
    <w:rsid w:val="00F74806"/>
    <w:rsid w:val="00F74FF8"/>
    <w:rsid w:val="00F75DCA"/>
    <w:rsid w:val="00F7735A"/>
    <w:rsid w:val="00F77A41"/>
    <w:rsid w:val="00F81554"/>
    <w:rsid w:val="00F83068"/>
    <w:rsid w:val="00F86798"/>
    <w:rsid w:val="00F950B2"/>
    <w:rsid w:val="00FD6CA2"/>
    <w:rsid w:val="00FE0598"/>
    <w:rsid w:val="00FE1095"/>
    <w:rsid w:val="00FE3142"/>
    <w:rsid w:val="00FE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E1E126"/>
  <w15:docId w15:val="{55991F9B-9F65-4BEF-A0D8-6394723D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F9B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076F9B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076F9B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076F9B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076F9B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076F9B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076F9B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076F9B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076F9B"/>
    <w:pPr>
      <w:spacing w:before="220" w:after="220" w:line="220" w:lineRule="atLeast"/>
      <w:jc w:val="left"/>
    </w:pPr>
  </w:style>
  <w:style w:type="paragraph" w:styleId="BodyText">
    <w:name w:val="Body Text"/>
    <w:basedOn w:val="Normal"/>
    <w:rsid w:val="00076F9B"/>
    <w:pPr>
      <w:spacing w:after="220" w:line="220" w:lineRule="atLeast"/>
    </w:pPr>
  </w:style>
  <w:style w:type="paragraph" w:customStyle="1" w:styleId="CcList">
    <w:name w:val="Cc List"/>
    <w:basedOn w:val="Normal"/>
    <w:rsid w:val="00076F9B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076F9B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076F9B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076F9B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rsid w:val="00076F9B"/>
    <w:pPr>
      <w:spacing w:after="220" w:line="220" w:lineRule="atLeast"/>
    </w:pPr>
  </w:style>
  <w:style w:type="character" w:styleId="Emphasis">
    <w:name w:val="Emphasis"/>
    <w:qFormat/>
    <w:rsid w:val="00076F9B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076F9B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076F9B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076F9B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076F9B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076F9B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076F9B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076F9B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076F9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076F9B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076F9B"/>
    <w:pPr>
      <w:spacing w:before="0"/>
    </w:pPr>
  </w:style>
  <w:style w:type="character" w:customStyle="1" w:styleId="Slogan">
    <w:name w:val="Slogan"/>
    <w:basedOn w:val="DefaultParagraphFont"/>
    <w:rsid w:val="00076F9B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076F9B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076F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76F9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76F9B"/>
    <w:rPr>
      <w:color w:val="0000FF"/>
      <w:u w:val="single"/>
    </w:rPr>
  </w:style>
  <w:style w:type="paragraph" w:styleId="List">
    <w:name w:val="List"/>
    <w:basedOn w:val="BodyText"/>
    <w:rsid w:val="00076F9B"/>
    <w:pPr>
      <w:ind w:left="360" w:hanging="360"/>
    </w:pPr>
  </w:style>
  <w:style w:type="paragraph" w:styleId="ListBullet">
    <w:name w:val="List Bullet"/>
    <w:basedOn w:val="List"/>
    <w:autoRedefine/>
    <w:rsid w:val="00076F9B"/>
    <w:pPr>
      <w:numPr>
        <w:numId w:val="1"/>
      </w:numPr>
    </w:pPr>
  </w:style>
  <w:style w:type="paragraph" w:styleId="ListNumber">
    <w:name w:val="List Number"/>
    <w:basedOn w:val="BodyText"/>
    <w:rsid w:val="00076F9B"/>
    <w:pPr>
      <w:numPr>
        <w:numId w:val="2"/>
      </w:numPr>
    </w:pPr>
  </w:style>
  <w:style w:type="character" w:styleId="FollowedHyperlink">
    <w:name w:val="FollowedHyperlink"/>
    <w:basedOn w:val="DefaultParagraphFont"/>
    <w:rsid w:val="00076F9B"/>
    <w:rPr>
      <w:color w:val="800080"/>
      <w:u w:val="single"/>
    </w:rPr>
  </w:style>
  <w:style w:type="paragraph" w:styleId="BodyText2">
    <w:name w:val="Body Text 2"/>
    <w:basedOn w:val="Normal"/>
    <w:rsid w:val="00076F9B"/>
    <w:pPr>
      <w:spacing w:line="180" w:lineRule="atLeast"/>
      <w:jc w:val="right"/>
    </w:pPr>
    <w:rPr>
      <w:rFonts w:cs="Arial"/>
      <w:b/>
      <w:bCs/>
      <w:color w:val="9B8F83"/>
      <w:spacing w:val="0"/>
      <w:sz w:val="13"/>
      <w:szCs w:val="24"/>
    </w:rPr>
  </w:style>
  <w:style w:type="character" w:styleId="PageNumber">
    <w:name w:val="page number"/>
    <w:basedOn w:val="DefaultParagraphFont"/>
    <w:rsid w:val="00076F9B"/>
  </w:style>
  <w:style w:type="character" w:customStyle="1" w:styleId="FooterChar">
    <w:name w:val="Footer Char"/>
    <w:basedOn w:val="DefaultParagraphFont"/>
    <w:link w:val="Footer"/>
    <w:uiPriority w:val="99"/>
    <w:rsid w:val="007A3EB5"/>
    <w:rPr>
      <w:rFonts w:ascii="Arial" w:hAnsi="Arial"/>
      <w:spacing w:val="-5"/>
    </w:rPr>
  </w:style>
  <w:style w:type="character" w:styleId="CommentReference">
    <w:name w:val="annotation reference"/>
    <w:basedOn w:val="DefaultParagraphFont"/>
    <w:rsid w:val="005D76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768B"/>
  </w:style>
  <w:style w:type="character" w:customStyle="1" w:styleId="CommentTextChar">
    <w:name w:val="Comment Text Char"/>
    <w:basedOn w:val="DefaultParagraphFont"/>
    <w:link w:val="CommentText"/>
    <w:rsid w:val="005D768B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rsid w:val="005D7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768B"/>
    <w:rPr>
      <w:rFonts w:ascii="Arial" w:hAnsi="Arial"/>
      <w:b/>
      <w:bCs/>
      <w:spacing w:val="-5"/>
    </w:rPr>
  </w:style>
  <w:style w:type="paragraph" w:styleId="BalloonText">
    <w:name w:val="Balloon Text"/>
    <w:basedOn w:val="Normal"/>
    <w:link w:val="BalloonTextChar"/>
    <w:rsid w:val="005D76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8B"/>
    <w:rPr>
      <w:rFonts w:ascii="Tahoma" w:hAnsi="Tahoma" w:cs="Tahoma"/>
      <w:spacing w:val="-5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CAF"/>
    <w:pPr>
      <w:ind w:left="720"/>
      <w:jc w:val="left"/>
    </w:pPr>
    <w:rPr>
      <w:rFonts w:ascii="Calibri" w:eastAsiaTheme="minorHAnsi" w:hAnsi="Calibri"/>
      <w:spacing w:val="0"/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99"/>
    <w:rsid w:val="00243D2A"/>
    <w:rPr>
      <w:rFonts w:ascii="Arial" w:hAnsi="Arial"/>
      <w:spacing w:val="-5"/>
    </w:rPr>
  </w:style>
  <w:style w:type="paragraph" w:styleId="FootnoteText">
    <w:name w:val="footnote text"/>
    <w:basedOn w:val="Normal"/>
    <w:link w:val="FootnoteTextChar"/>
    <w:semiHidden/>
    <w:unhideWhenUsed/>
    <w:rsid w:val="00F54D2E"/>
  </w:style>
  <w:style w:type="character" w:customStyle="1" w:styleId="FootnoteTextChar">
    <w:name w:val="Footnote Text Char"/>
    <w:basedOn w:val="DefaultParagraphFont"/>
    <w:link w:val="FootnoteText"/>
    <w:semiHidden/>
    <w:rsid w:val="00F54D2E"/>
    <w:rPr>
      <w:rFonts w:ascii="Arial" w:hAnsi="Arial"/>
      <w:spacing w:val="-5"/>
    </w:rPr>
  </w:style>
  <w:style w:type="character" w:styleId="FootnoteReference">
    <w:name w:val="footnote reference"/>
    <w:basedOn w:val="DefaultParagraphFont"/>
    <w:semiHidden/>
    <w:unhideWhenUsed/>
    <w:rsid w:val="00F54D2E"/>
    <w:rPr>
      <w:vertAlign w:val="superscript"/>
    </w:rPr>
  </w:style>
  <w:style w:type="table" w:styleId="TableGrid">
    <w:name w:val="Table Grid"/>
    <w:basedOn w:val="TableNormal"/>
    <w:uiPriority w:val="59"/>
    <w:rsid w:val="009A175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6C5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sedlacek\Appdata\Roaming\Microsoft\Templates\iso_memo_internal%20use.dotx" TargetMode="External"/></Relationship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C4284-6CC0-964B-8F1D-9CBD3151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C:\users\csedlacek\Appdata\Roaming\Microsoft\Templates\iso_memo_internal use.dotx</Template>
  <TotalTime>0</TotalTime>
  <Pages>5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ISO New England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shaas</dc:creator>
  <cp:lastModifiedBy>Dorothy Capra</cp:lastModifiedBy>
  <cp:revision>2</cp:revision>
  <cp:lastPrinted>2019-04-09T17:07:00Z</cp:lastPrinted>
  <dcterms:created xsi:type="dcterms:W3CDTF">2019-07-24T18:48:00Z</dcterms:created>
  <dcterms:modified xsi:type="dcterms:W3CDTF">2019-07-24T18:48:00Z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